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4DDE2984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5C74A7">
        <w:rPr>
          <w:b/>
          <w:bCs/>
          <w:sz w:val="40"/>
          <w:szCs w:val="40"/>
        </w:rPr>
        <w:t>4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1A21AE1F" w:rsidR="00907B67" w:rsidRPr="00AD6408" w:rsidRDefault="00D26923" w:rsidP="007D3139">
      <w:pPr>
        <w:ind w:left="142"/>
        <w:jc w:val="center"/>
        <w:rPr>
          <w:b/>
          <w:bCs/>
        </w:rPr>
      </w:pPr>
      <w:r w:rsidRPr="00AD6408">
        <w:rPr>
          <w:b/>
          <w:bCs/>
        </w:rPr>
        <w:t xml:space="preserve">Žakanje, </w:t>
      </w:r>
      <w:r w:rsidR="005C74A7">
        <w:rPr>
          <w:b/>
          <w:bCs/>
        </w:rPr>
        <w:t>lipanj</w:t>
      </w:r>
      <w:r w:rsidRPr="00AD6408">
        <w:rPr>
          <w:b/>
          <w:bCs/>
        </w:rPr>
        <w:t>, 202</w:t>
      </w:r>
      <w:r w:rsidR="002071AF">
        <w:rPr>
          <w:b/>
          <w:bCs/>
        </w:rPr>
        <w:t>4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 w:rsidP="002C2AFE">
      <w:pPr>
        <w:pStyle w:val="Odlomakpopisa"/>
        <w:numPr>
          <w:ilvl w:val="0"/>
          <w:numId w:val="34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5B46B33D" w14:textId="77777777" w:rsidR="005C74A7" w:rsidRDefault="005C74A7" w:rsidP="005C74A7">
      <w:pPr>
        <w:jc w:val="both"/>
      </w:pPr>
      <w:r>
        <w:t>Člankom 88. Zakona o proračunu (Narodne novine, 144/21) (u daljnjem tekstu: Zakon) propisana je obveza Jedinstvenog upravnog odjela Općine Žakanje izrade polugodišnjeg izvještaja o izvršenju proračuna i dostave općinskom načelniku do 15. rujna tekuće proračunske godine, a kojeg onda načelnik podnosi Općinskom vijeću na donošenje do 30. rujna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 w:rsidP="00465629">
      <w:pPr>
        <w:pStyle w:val="Odlomakpopisa"/>
        <w:numPr>
          <w:ilvl w:val="1"/>
          <w:numId w:val="34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 w:rsidP="00465629">
      <w:pPr>
        <w:pStyle w:val="Odlomakpopisa"/>
        <w:numPr>
          <w:ilvl w:val="1"/>
          <w:numId w:val="34"/>
        </w:numPr>
        <w:jc w:val="both"/>
      </w:pPr>
      <w:r>
        <w:t>Račun financiranja</w:t>
      </w:r>
    </w:p>
    <w:p w14:paraId="74D93E60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lastRenderedPageBreak/>
        <w:t>Izvještaj o danim zajmovima i potraživanjima po danim jamstvima</w:t>
      </w:r>
    </w:p>
    <w:p w14:paraId="0D781643" w14:textId="0F84FDC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13BEF0A4" w:rsidR="002C2AFE" w:rsidRPr="005359F1" w:rsidRDefault="002C2AFE" w:rsidP="005359F1">
      <w:pPr>
        <w:pStyle w:val="Odlomakpopisa"/>
        <w:numPr>
          <w:ilvl w:val="0"/>
          <w:numId w:val="5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 xml:space="preserve">OBRAZLOŽENJE </w:t>
      </w:r>
      <w:r w:rsidR="00E37FB3">
        <w:rPr>
          <w:b/>
          <w:bCs/>
          <w:sz w:val="28"/>
          <w:szCs w:val="28"/>
        </w:rPr>
        <w:t>POLU</w:t>
      </w:r>
      <w:r w:rsidRPr="005359F1">
        <w:rPr>
          <w:b/>
          <w:bCs/>
          <w:sz w:val="28"/>
          <w:szCs w:val="28"/>
        </w:rPr>
        <w:t>GODIŠNJEG IZVJEŠTAJA O IZVRŠENJU PRORAČUNA OPĆINE ŽAKANJE ZA 202</w:t>
      </w:r>
      <w:r w:rsidR="00E37FB3">
        <w:rPr>
          <w:b/>
          <w:bCs/>
          <w:sz w:val="28"/>
          <w:szCs w:val="28"/>
        </w:rPr>
        <w:t>4</w:t>
      </w:r>
      <w:r w:rsidRPr="005359F1">
        <w:rPr>
          <w:b/>
          <w:bCs/>
          <w:sz w:val="28"/>
          <w:szCs w:val="28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444AB6EB" w:rsidR="002C2AFE" w:rsidRDefault="002C2AFE" w:rsidP="002C2AFE">
      <w:pPr>
        <w:jc w:val="both"/>
      </w:pPr>
      <w:bookmarkStart w:id="3" w:name="_Hlk161654653"/>
      <w:bookmarkStart w:id="4" w:name="_Hlk179550116"/>
      <w:r>
        <w:t xml:space="preserve">Iz sažetka Računa prihoda i rashoda vidljivo je da su u izvještajnom razdoblju ostvareni ukupni prihodi od </w:t>
      </w:r>
      <w:r w:rsidR="00C638A4">
        <w:t>632.516,36</w:t>
      </w:r>
      <w:r>
        <w:t xml:space="preserve"> eura što u odnosu na tekući plan za 202</w:t>
      </w:r>
      <w:r w:rsidR="00E37FB3">
        <w:t>4</w:t>
      </w:r>
      <w:r>
        <w:t xml:space="preserve">. godinu predstavlja izvršenje od </w:t>
      </w:r>
      <w:r w:rsidR="00C638A4">
        <w:t>34,15</w:t>
      </w:r>
      <w:r>
        <w:t xml:space="preserve"> %. </w:t>
      </w:r>
      <w:r w:rsidRPr="00675DAE">
        <w:t>U odnosu na isto razdoblje 202</w:t>
      </w:r>
      <w:r>
        <w:t>3</w:t>
      </w:r>
      <w:r w:rsidRPr="00675DAE">
        <w:t xml:space="preserve">. godine ukupni prihodi bilježe </w:t>
      </w:r>
      <w:r>
        <w:t>povećanje</w:t>
      </w:r>
      <w:r w:rsidRPr="00675DAE">
        <w:t xml:space="preserve"> od </w:t>
      </w:r>
      <w:r w:rsidR="00C638A4">
        <w:t>33,63</w:t>
      </w:r>
      <w:r w:rsidRPr="00675DAE">
        <w:t>%.</w:t>
      </w:r>
    </w:p>
    <w:p w14:paraId="4EDCBB32" w14:textId="77777777" w:rsidR="002C2AFE" w:rsidRDefault="002C2AFE" w:rsidP="002C2AFE">
      <w:pPr>
        <w:jc w:val="both"/>
      </w:pPr>
    </w:p>
    <w:p w14:paraId="05065851" w14:textId="611C44C9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="00C638A4">
        <w:t>794.912,24</w:t>
      </w:r>
      <w:r w:rsidRPr="0033197A">
        <w:t xml:space="preserve"> eura što u odnosu na tekući plan za 202</w:t>
      </w:r>
      <w:r w:rsidR="00C638A4">
        <w:t>4</w:t>
      </w:r>
      <w:r w:rsidRPr="0033197A">
        <w:t xml:space="preserve">. godinu predstavlja izvršenje od </w:t>
      </w:r>
      <w:r w:rsidR="00C638A4">
        <w:t>37,67</w:t>
      </w:r>
      <w:r w:rsidRPr="0033197A">
        <w:t>%. U odnosu na isto razdoblje 202</w:t>
      </w:r>
      <w:r w:rsidR="00C638A4">
        <w:t>3</w:t>
      </w:r>
      <w:r w:rsidRPr="0033197A">
        <w:t xml:space="preserve">. godine ukupni </w:t>
      </w:r>
      <w:r>
        <w:t>rashodi</w:t>
      </w:r>
      <w:r w:rsidRPr="0033197A">
        <w:t xml:space="preserve"> bilježe povećanje od </w:t>
      </w:r>
      <w:r w:rsidR="00C638A4">
        <w:t>100,35</w:t>
      </w:r>
      <w:r w:rsidRPr="0033197A">
        <w:t>%.</w:t>
      </w:r>
    </w:p>
    <w:p w14:paraId="5F76C529" w14:textId="77777777" w:rsidR="002C2AFE" w:rsidRDefault="002C2AFE" w:rsidP="002C2AFE">
      <w:pPr>
        <w:jc w:val="both"/>
      </w:pPr>
    </w:p>
    <w:p w14:paraId="6A769666" w14:textId="23083DDE" w:rsidR="002C2AFE" w:rsidRDefault="002C2AFE" w:rsidP="002C2AFE">
      <w:pPr>
        <w:jc w:val="both"/>
      </w:pPr>
      <w:r w:rsidRPr="0033197A">
        <w:t xml:space="preserve">Iz navedenog proizlazi razlika između ostvarenih ukupnih prihoda i rashoda, odnosno </w:t>
      </w:r>
      <w:r w:rsidR="00C638A4">
        <w:t>manjak</w:t>
      </w:r>
      <w:r w:rsidRPr="0033197A">
        <w:t xml:space="preserve"> prihoda Proračuna </w:t>
      </w:r>
      <w:r>
        <w:t>Općine Žakanje</w:t>
      </w:r>
      <w:r w:rsidRPr="0033197A">
        <w:t xml:space="preserve"> ostvaren u </w:t>
      </w:r>
      <w:r>
        <w:t xml:space="preserve">razdoblju I. – </w:t>
      </w:r>
      <w:r w:rsidR="00C638A4">
        <w:t>V</w:t>
      </w:r>
      <w:r>
        <w:t>I. 202</w:t>
      </w:r>
      <w:r w:rsidR="00C638A4">
        <w:t>4</w:t>
      </w:r>
      <w:r>
        <w:t>. godine</w:t>
      </w:r>
      <w:r w:rsidRPr="0033197A">
        <w:t xml:space="preserve"> u iznosu od</w:t>
      </w:r>
      <w:r>
        <w:t xml:space="preserve"> </w:t>
      </w:r>
      <w:r w:rsidR="00C638A4">
        <w:t>162.395,88</w:t>
      </w:r>
      <w:r>
        <w:t xml:space="preserve"> eura</w:t>
      </w:r>
      <w:r w:rsidRPr="0033197A">
        <w:t>.</w:t>
      </w:r>
    </w:p>
    <w:p w14:paraId="6274C575" w14:textId="77777777" w:rsidR="002C2AFE" w:rsidRDefault="002C2AFE" w:rsidP="002C2AFE">
      <w:pPr>
        <w:jc w:val="both"/>
      </w:pPr>
    </w:p>
    <w:p w14:paraId="34C803C1" w14:textId="2E749436" w:rsidR="002C2AFE" w:rsidRDefault="002C2AFE" w:rsidP="002C2AFE">
      <w:pPr>
        <w:jc w:val="both"/>
      </w:pPr>
      <w:r>
        <w:t xml:space="preserve">Za otplatu zajma realiziran je izdatak u iznosu od </w:t>
      </w:r>
      <w:r w:rsidR="00C638A4">
        <w:t>14.064,30</w:t>
      </w:r>
      <w:r>
        <w:t xml:space="preserve"> eura.</w:t>
      </w:r>
    </w:p>
    <w:p w14:paraId="7844CC51" w14:textId="77777777" w:rsidR="002C2AFE" w:rsidRDefault="002C2AFE" w:rsidP="002C2AFE">
      <w:pPr>
        <w:jc w:val="both"/>
      </w:pPr>
    </w:p>
    <w:p w14:paraId="025F2B07" w14:textId="3E33C909" w:rsidR="002C2AFE" w:rsidRDefault="002C2AFE" w:rsidP="002C2AFE">
      <w:pPr>
        <w:jc w:val="both"/>
        <w:rPr>
          <w:b/>
          <w:bCs/>
        </w:rPr>
      </w:pPr>
      <w:r>
        <w:t xml:space="preserve">Preneseni </w:t>
      </w:r>
      <w:r w:rsidR="00C638A4">
        <w:t>višak</w:t>
      </w:r>
      <w:r>
        <w:t xml:space="preserve"> iz prethodne 202</w:t>
      </w:r>
      <w:r w:rsidR="00C638A4">
        <w:t>3</w:t>
      </w:r>
      <w:r>
        <w:t xml:space="preserve">. godine iznosi </w:t>
      </w:r>
      <w:r w:rsidR="00C638A4">
        <w:t>286.648,89</w:t>
      </w:r>
      <w:r>
        <w:t xml:space="preserve"> 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="00C638A4">
        <w:rPr>
          <w:b/>
          <w:bCs/>
        </w:rPr>
        <w:t>110.188,71</w:t>
      </w:r>
      <w:r w:rsidRPr="00675DAE">
        <w:rPr>
          <w:b/>
          <w:bCs/>
        </w:rPr>
        <w:t xml:space="preserve"> eura.</w:t>
      </w:r>
    </w:p>
    <w:bookmarkEnd w:id="4"/>
    <w:p w14:paraId="5B4B2851" w14:textId="77777777" w:rsidR="005D280D" w:rsidRDefault="005D280D" w:rsidP="002C2AFE">
      <w:pPr>
        <w:jc w:val="both"/>
      </w:pPr>
    </w:p>
    <w:bookmarkEnd w:id="3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 w:rsidP="002C2AFE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5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5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3D3DC034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6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C638A4">
        <w:rPr>
          <w:rFonts w:eastAsia="Times New Roman"/>
          <w:lang w:eastAsia="hr-HR"/>
        </w:rPr>
        <w:t xml:space="preserve">625.451,86 </w:t>
      </w:r>
      <w:r w:rsidRPr="0003466C">
        <w:rPr>
          <w:rFonts w:eastAsia="Times New Roman"/>
          <w:lang w:eastAsia="hr-HR"/>
        </w:rPr>
        <w:t>eura što u odnosu na tekući plan za 202</w:t>
      </w:r>
      <w:r w:rsidR="00C638A4">
        <w:rPr>
          <w:rFonts w:eastAsia="Times New Roman"/>
          <w:lang w:eastAsia="hr-HR"/>
        </w:rPr>
        <w:t>4</w:t>
      </w:r>
      <w:r w:rsidRPr="0003466C">
        <w:rPr>
          <w:rFonts w:eastAsia="Times New Roman"/>
          <w:lang w:eastAsia="hr-HR"/>
        </w:rPr>
        <w:t xml:space="preserve">. godinu predstavlja izvršenje od </w:t>
      </w:r>
      <w:r w:rsidR="00C638A4">
        <w:rPr>
          <w:rFonts w:eastAsia="Times New Roman"/>
          <w:lang w:eastAsia="hr-HR"/>
        </w:rPr>
        <w:t>34,07</w:t>
      </w:r>
      <w:r w:rsidRPr="0003466C">
        <w:rPr>
          <w:rFonts w:eastAsia="Times New Roman"/>
          <w:lang w:eastAsia="hr-HR"/>
        </w:rPr>
        <w:t>%. U odnosu na isto razdoblje 202</w:t>
      </w:r>
      <w:r w:rsidR="00C638A4">
        <w:rPr>
          <w:rFonts w:eastAsia="Times New Roman"/>
          <w:lang w:eastAsia="hr-HR"/>
        </w:rPr>
        <w:t>3</w:t>
      </w:r>
      <w:r w:rsidRPr="0003466C">
        <w:rPr>
          <w:rFonts w:eastAsia="Times New Roman"/>
          <w:lang w:eastAsia="hr-HR"/>
        </w:rPr>
        <w:t>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bilježe povećanje od </w:t>
      </w:r>
      <w:r w:rsidR="00C638A4">
        <w:rPr>
          <w:rFonts w:eastAsia="Times New Roman"/>
          <w:lang w:eastAsia="hr-HR"/>
        </w:rPr>
        <w:t>32,14</w:t>
      </w:r>
      <w:r w:rsidRPr="0003466C">
        <w:rPr>
          <w:rFonts w:eastAsia="Times New Roman"/>
          <w:lang w:eastAsia="hr-HR"/>
        </w:rPr>
        <w:t>%.</w:t>
      </w:r>
    </w:p>
    <w:bookmarkEnd w:id="6"/>
    <w:p w14:paraId="1B5D8BDA" w14:textId="468D8D89" w:rsidR="006C7F90" w:rsidRDefault="0003466C" w:rsidP="00B13A61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C638A4">
        <w:rPr>
          <w:rFonts w:eastAsia="Times New Roman"/>
          <w:lang w:eastAsia="hr-HR"/>
        </w:rPr>
        <w:t>381.131,04</w:t>
      </w:r>
      <w:r w:rsidR="006C7F90">
        <w:rPr>
          <w:rFonts w:eastAsia="Times New Roman"/>
          <w:lang w:eastAsia="hr-HR"/>
        </w:rPr>
        <w:t xml:space="preserve"> eura što u odnosu na tekući plan za 202</w:t>
      </w:r>
      <w:r w:rsidR="00C638A4">
        <w:rPr>
          <w:rFonts w:eastAsia="Times New Roman"/>
          <w:lang w:eastAsia="hr-HR"/>
        </w:rPr>
        <w:t>4</w:t>
      </w:r>
      <w:r w:rsidR="006C7F90">
        <w:rPr>
          <w:rFonts w:eastAsia="Times New Roman"/>
          <w:lang w:eastAsia="hr-HR"/>
        </w:rPr>
        <w:t xml:space="preserve">. godinu predstavlja izvršenje od </w:t>
      </w:r>
      <w:r w:rsidR="00C638A4">
        <w:rPr>
          <w:rFonts w:eastAsia="Times New Roman"/>
          <w:lang w:eastAsia="hr-HR"/>
        </w:rPr>
        <w:t>51,46</w:t>
      </w:r>
      <w:r w:rsidR="006C7F90">
        <w:rPr>
          <w:rFonts w:eastAsia="Times New Roman"/>
          <w:lang w:eastAsia="hr-HR"/>
        </w:rPr>
        <w:t>%. U odnosu na isto razdoblje 202</w:t>
      </w:r>
      <w:r w:rsidR="00C638A4">
        <w:rPr>
          <w:rFonts w:eastAsia="Times New Roman"/>
          <w:lang w:eastAsia="hr-HR"/>
        </w:rPr>
        <w:t>3</w:t>
      </w:r>
      <w:r w:rsidR="006C7F90">
        <w:rPr>
          <w:rFonts w:eastAsia="Times New Roman"/>
          <w:lang w:eastAsia="hr-HR"/>
        </w:rPr>
        <w:t xml:space="preserve">. godine ukupni prihodi od poreza bilježe povećanje za </w:t>
      </w:r>
      <w:r w:rsidR="00C638A4">
        <w:rPr>
          <w:rFonts w:eastAsia="Times New Roman"/>
          <w:lang w:eastAsia="hr-HR"/>
        </w:rPr>
        <w:t>38,06</w:t>
      </w:r>
      <w:r w:rsidR="006C7F90">
        <w:rPr>
          <w:rFonts w:eastAsia="Times New Roman"/>
          <w:lang w:eastAsia="hr-HR"/>
        </w:rPr>
        <w:t>%.</w:t>
      </w:r>
    </w:p>
    <w:p w14:paraId="42377FC2" w14:textId="11C9A3F5" w:rsidR="0003466C" w:rsidRPr="00C638A4" w:rsidRDefault="006C7F90" w:rsidP="00C638A4">
      <w:pPr>
        <w:spacing w:after="160" w:line="259" w:lineRule="auto"/>
        <w:ind w:left="1276" w:hanging="556"/>
        <w:jc w:val="both"/>
        <w:rPr>
          <w:rFonts w:eastAsia="Times New Roman"/>
          <w:i/>
          <w:iCs/>
          <w:lang w:eastAsia="hr-HR"/>
        </w:rPr>
      </w:pPr>
      <w:r w:rsidRPr="006C7F90">
        <w:rPr>
          <w:rFonts w:eastAsia="Times New Roman"/>
          <w:b/>
          <w:bCs/>
          <w:lang w:eastAsia="hr-HR"/>
        </w:rPr>
        <w:t>611 – Porez i prirez na dohodak</w:t>
      </w:r>
      <w:r>
        <w:rPr>
          <w:rFonts w:eastAsia="Times New Roman"/>
          <w:b/>
          <w:bCs/>
          <w:lang w:eastAsia="hr-HR"/>
        </w:rPr>
        <w:t xml:space="preserve">: </w:t>
      </w:r>
      <w:r w:rsidR="00C638A4" w:rsidRPr="00C638A4">
        <w:rPr>
          <w:rFonts w:eastAsia="Times New Roman"/>
          <w:i/>
          <w:iCs/>
          <w:lang w:eastAsia="hr-HR"/>
        </w:rPr>
        <w:t>Porez i prirez na dohodak od nesamostalnog rada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i prirez na dohodak od samostalnih djelatnosti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i prirez na dohodak od imovine i imovinskih prava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i prirez na dohodak od kapitala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i prirez na dohodak po godišnjoj prijavi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 xml:space="preserve">Porez i </w:t>
      </w:r>
      <w:r w:rsidR="00C638A4" w:rsidRPr="00C638A4">
        <w:rPr>
          <w:rFonts w:eastAsia="Times New Roman"/>
          <w:i/>
          <w:iCs/>
          <w:lang w:eastAsia="hr-HR"/>
        </w:rPr>
        <w:lastRenderedPageBreak/>
        <w:t>prirez na dohodak utvrđen u postupku nadzora za prethodne godine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Povrat poreza i prireza na dohodak po godišnjoj prijavi</w:t>
      </w:r>
    </w:p>
    <w:p w14:paraId="5F8B929A" w14:textId="1378D234" w:rsidR="006C7F90" w:rsidRP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tab/>
      </w:r>
      <w:bookmarkStart w:id="7" w:name="_Hlk146111912"/>
      <w:r>
        <w:rPr>
          <w:rFonts w:eastAsia="Times New Roman"/>
          <w:lang w:eastAsia="hr-HR"/>
        </w:rPr>
        <w:t xml:space="preserve">U izvještajnom razdoblju ostvareni ukupni prihodi od poreza i prireza na dohodak iznose </w:t>
      </w:r>
      <w:r w:rsidR="00C638A4">
        <w:rPr>
          <w:rFonts w:eastAsia="Times New Roman"/>
          <w:lang w:eastAsia="hr-HR"/>
        </w:rPr>
        <w:t>370.266,09</w:t>
      </w:r>
      <w:r>
        <w:rPr>
          <w:rFonts w:eastAsia="Times New Roman"/>
          <w:lang w:eastAsia="hr-HR"/>
        </w:rPr>
        <w:t xml:space="preserve"> eura što u odnosu na tekući plan za 202</w:t>
      </w:r>
      <w:r w:rsidR="00C638A4">
        <w:rPr>
          <w:rFonts w:eastAsia="Times New Roman"/>
          <w:lang w:eastAsia="hr-HR"/>
        </w:rPr>
        <w:t>4</w:t>
      </w:r>
      <w:r>
        <w:rPr>
          <w:rFonts w:eastAsia="Times New Roman"/>
          <w:lang w:eastAsia="hr-HR"/>
        </w:rPr>
        <w:t xml:space="preserve">. godinu predstavlja izvršenje od </w:t>
      </w:r>
      <w:r w:rsidR="00C638A4">
        <w:rPr>
          <w:rFonts w:eastAsia="Times New Roman"/>
          <w:lang w:eastAsia="hr-HR"/>
        </w:rPr>
        <w:t>52,34</w:t>
      </w:r>
      <w:r>
        <w:rPr>
          <w:rFonts w:eastAsia="Times New Roman"/>
          <w:lang w:eastAsia="hr-HR"/>
        </w:rPr>
        <w:t>%. U odnosu na isto razdoblje 202</w:t>
      </w:r>
      <w:r w:rsidR="00C638A4">
        <w:rPr>
          <w:rFonts w:eastAsia="Times New Roman"/>
          <w:lang w:eastAsia="hr-HR"/>
        </w:rPr>
        <w:t>3</w:t>
      </w:r>
      <w:r>
        <w:rPr>
          <w:rFonts w:eastAsia="Times New Roman"/>
          <w:lang w:eastAsia="hr-HR"/>
        </w:rPr>
        <w:t xml:space="preserve">. godine ukupni prihodi od poreza i prireza na dohodak bilježe povećanje od </w:t>
      </w:r>
      <w:r w:rsidR="00C638A4">
        <w:rPr>
          <w:rFonts w:eastAsia="Times New Roman"/>
          <w:lang w:eastAsia="hr-HR"/>
        </w:rPr>
        <w:t>38,07</w:t>
      </w:r>
      <w:r w:rsidR="00425C05">
        <w:rPr>
          <w:rFonts w:eastAsia="Times New Roman"/>
          <w:lang w:eastAsia="hr-HR"/>
        </w:rPr>
        <w:t>%.</w:t>
      </w:r>
      <w:bookmarkEnd w:id="7"/>
    </w:p>
    <w:p w14:paraId="662D16BB" w14:textId="789A75AA" w:rsidR="0003466C" w:rsidRPr="002D566C" w:rsidRDefault="0003466C" w:rsidP="002D566C">
      <w:pPr>
        <w:spacing w:after="160" w:line="259" w:lineRule="auto"/>
        <w:ind w:left="1276" w:hanging="567"/>
        <w:jc w:val="both"/>
        <w:rPr>
          <w:rFonts w:eastAsia="Times New Roman"/>
          <w:bCs/>
          <w:iCs/>
          <w:lang w:eastAsia="hr-HR"/>
        </w:rPr>
      </w:pPr>
      <w:r w:rsidRPr="0003466C">
        <w:rPr>
          <w:rFonts w:eastAsia="Times New Roman"/>
          <w:b/>
          <w:iCs/>
          <w:lang w:eastAsia="hr-HR"/>
        </w:rPr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="002D566C" w:rsidRPr="002D566C">
        <w:rPr>
          <w:rFonts w:eastAsia="Times New Roman"/>
          <w:bCs/>
          <w:i/>
          <w:lang w:eastAsia="hr-HR"/>
        </w:rPr>
        <w:t>Stalni porezi na nepokretnu imovinu (zemlju, zgrade, kuće i ostalo)</w:t>
      </w:r>
      <w:r w:rsidR="002D566C" w:rsidRPr="002D566C">
        <w:rPr>
          <w:rFonts w:eastAsia="Times New Roman"/>
          <w:bCs/>
          <w:i/>
          <w:lang w:eastAsia="hr-HR"/>
        </w:rPr>
        <w:t xml:space="preserve">, </w:t>
      </w:r>
      <w:r w:rsidR="002D566C" w:rsidRPr="002D566C">
        <w:rPr>
          <w:rFonts w:eastAsia="Times New Roman"/>
          <w:bCs/>
          <w:i/>
          <w:lang w:eastAsia="hr-HR"/>
        </w:rPr>
        <w:t>Povremeni porezi na imovinu</w:t>
      </w:r>
    </w:p>
    <w:p w14:paraId="6396C648" w14:textId="0E5347DE" w:rsidR="00425C05" w:rsidRPr="0003466C" w:rsidRDefault="00425C05" w:rsidP="00425C05">
      <w:pPr>
        <w:spacing w:after="160" w:line="259" w:lineRule="auto"/>
        <w:ind w:left="1276" w:hanging="567"/>
        <w:jc w:val="both"/>
        <w:rPr>
          <w:rFonts w:eastAsia="Times New Roman"/>
          <w:bCs/>
          <w:sz w:val="20"/>
          <w:szCs w:val="20"/>
          <w:lang w:eastAsia="hr-HR"/>
        </w:rPr>
      </w:pPr>
      <w:r>
        <w:rPr>
          <w:rFonts w:eastAsia="Times New Roman"/>
          <w:b/>
          <w:iCs/>
          <w:lang w:eastAsia="hr-HR"/>
        </w:rPr>
        <w:tab/>
      </w:r>
      <w:r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2D566C">
        <w:rPr>
          <w:rFonts w:eastAsia="Times New Roman"/>
          <w:lang w:eastAsia="hr-HR"/>
        </w:rPr>
        <w:t>6.126,43</w:t>
      </w:r>
      <w:r w:rsidR="008103D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eura što u odnosu na tekući plan za 202</w:t>
      </w:r>
      <w:r w:rsidR="002D566C">
        <w:rPr>
          <w:rFonts w:eastAsia="Times New Roman"/>
          <w:lang w:eastAsia="hr-HR"/>
        </w:rPr>
        <w:t>4</w:t>
      </w:r>
      <w:r>
        <w:rPr>
          <w:rFonts w:eastAsia="Times New Roman"/>
          <w:lang w:eastAsia="hr-HR"/>
        </w:rPr>
        <w:t xml:space="preserve">. godinu predstavlja izvršenje od </w:t>
      </w:r>
      <w:r w:rsidR="002D566C">
        <w:rPr>
          <w:rFonts w:eastAsia="Times New Roman"/>
          <w:lang w:eastAsia="hr-HR"/>
        </w:rPr>
        <w:t>26,52</w:t>
      </w:r>
      <w:r>
        <w:rPr>
          <w:rFonts w:eastAsia="Times New Roman"/>
          <w:lang w:eastAsia="hr-HR"/>
        </w:rPr>
        <w:t>%. U odnosu na isto razdoblje 202</w:t>
      </w:r>
      <w:r w:rsidR="002D566C">
        <w:rPr>
          <w:rFonts w:eastAsia="Times New Roman"/>
          <w:lang w:eastAsia="hr-HR"/>
        </w:rPr>
        <w:t>3</w:t>
      </w:r>
      <w:r>
        <w:rPr>
          <w:rFonts w:eastAsia="Times New Roman"/>
          <w:lang w:eastAsia="hr-HR"/>
        </w:rPr>
        <w:t xml:space="preserve">. godine ukupni prihodi od poreza na imovinu bilježe </w:t>
      </w:r>
      <w:r w:rsidR="008103D9">
        <w:rPr>
          <w:rFonts w:eastAsia="Times New Roman"/>
          <w:lang w:eastAsia="hr-HR"/>
        </w:rPr>
        <w:t>povećanje</w:t>
      </w:r>
      <w:r>
        <w:rPr>
          <w:rFonts w:eastAsia="Times New Roman"/>
          <w:lang w:eastAsia="hr-HR"/>
        </w:rPr>
        <w:t xml:space="preserve"> za </w:t>
      </w:r>
      <w:r w:rsidR="002D566C">
        <w:rPr>
          <w:rFonts w:eastAsia="Times New Roman"/>
          <w:lang w:eastAsia="hr-HR"/>
        </w:rPr>
        <w:t>70,03</w:t>
      </w:r>
      <w:r>
        <w:rPr>
          <w:rFonts w:eastAsia="Times New Roman"/>
          <w:lang w:eastAsia="hr-HR"/>
        </w:rPr>
        <w:t>%.</w:t>
      </w:r>
    </w:p>
    <w:p w14:paraId="039450AE" w14:textId="77777777" w:rsidR="00B32590" w:rsidRDefault="0003466C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Porez na potrošnju alkoholnih i bezalkoholnih pića, Porez na tvrtku odnosno naziv tvrtke</w:t>
      </w:r>
    </w:p>
    <w:p w14:paraId="7B2E53A5" w14:textId="2E8F510F" w:rsidR="0003466C" w:rsidRPr="00B32590" w:rsidRDefault="00B32590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B32590">
        <w:rPr>
          <w:rFonts w:eastAsia="Times New Roman"/>
          <w:lang w:eastAsia="hr-HR"/>
        </w:rPr>
        <w:t xml:space="preserve">U izvještajnom razdoblju ostvareni ukupni prihodi od poreza na </w:t>
      </w:r>
      <w:r>
        <w:rPr>
          <w:rFonts w:eastAsia="Times New Roman"/>
          <w:lang w:eastAsia="hr-HR"/>
        </w:rPr>
        <w:t>robu i usluge iznose</w:t>
      </w:r>
      <w:r w:rsidRPr="00B32590">
        <w:rPr>
          <w:rFonts w:eastAsia="Times New Roman"/>
          <w:lang w:eastAsia="hr-HR"/>
        </w:rPr>
        <w:t xml:space="preserve"> </w:t>
      </w:r>
      <w:r w:rsidR="002D566C">
        <w:rPr>
          <w:rFonts w:eastAsia="Times New Roman"/>
          <w:lang w:eastAsia="hr-HR"/>
        </w:rPr>
        <w:t>4.738,52</w:t>
      </w:r>
      <w:r w:rsidRPr="00B32590">
        <w:rPr>
          <w:rFonts w:eastAsia="Times New Roman"/>
          <w:lang w:eastAsia="hr-HR"/>
        </w:rPr>
        <w:t xml:space="preserve"> eura što u odnosu na tekući plan za 202</w:t>
      </w:r>
      <w:r w:rsidR="002D566C">
        <w:rPr>
          <w:rFonts w:eastAsia="Times New Roman"/>
          <w:lang w:eastAsia="hr-HR"/>
        </w:rPr>
        <w:t>4</w:t>
      </w:r>
      <w:r w:rsidRPr="00B32590">
        <w:rPr>
          <w:rFonts w:eastAsia="Times New Roman"/>
          <w:lang w:eastAsia="hr-HR"/>
        </w:rPr>
        <w:t xml:space="preserve">. godinu predstavlja izvršenje od </w:t>
      </w:r>
      <w:r w:rsidR="002D566C">
        <w:rPr>
          <w:rFonts w:eastAsia="Times New Roman"/>
          <w:lang w:eastAsia="hr-HR"/>
        </w:rPr>
        <w:t>46,92</w:t>
      </w:r>
      <w:r w:rsidRPr="00B32590">
        <w:rPr>
          <w:rFonts w:eastAsia="Times New Roman"/>
          <w:lang w:eastAsia="hr-HR"/>
        </w:rPr>
        <w:t>%. U odnosu na isto razdoblje 202</w:t>
      </w:r>
      <w:r w:rsidR="002D566C">
        <w:rPr>
          <w:rFonts w:eastAsia="Times New Roman"/>
          <w:lang w:eastAsia="hr-HR"/>
        </w:rPr>
        <w:t>3</w:t>
      </w:r>
      <w:r w:rsidRPr="00B32590">
        <w:rPr>
          <w:rFonts w:eastAsia="Times New Roman"/>
          <w:lang w:eastAsia="hr-HR"/>
        </w:rPr>
        <w:t xml:space="preserve">. godine ukupni prihodi od poreza na </w:t>
      </w:r>
      <w:r>
        <w:rPr>
          <w:rFonts w:eastAsia="Times New Roman"/>
          <w:lang w:eastAsia="hr-HR"/>
        </w:rPr>
        <w:t>robu i usluge</w:t>
      </w:r>
      <w:r w:rsidRPr="00B32590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B32590">
        <w:rPr>
          <w:rFonts w:eastAsia="Times New Roman"/>
          <w:lang w:eastAsia="hr-HR"/>
        </w:rPr>
        <w:t xml:space="preserve"> za </w:t>
      </w:r>
      <w:r w:rsidR="002D566C">
        <w:rPr>
          <w:rFonts w:eastAsia="Times New Roman"/>
          <w:lang w:eastAsia="hr-HR"/>
        </w:rPr>
        <w:t>10,44</w:t>
      </w:r>
      <w:r w:rsidRPr="00B32590">
        <w:rPr>
          <w:rFonts w:eastAsia="Times New Roman"/>
          <w:lang w:eastAsia="hr-HR"/>
        </w:rPr>
        <w:t>%.</w:t>
      </w:r>
      <w:r w:rsidRPr="00B32590">
        <w:rPr>
          <w:rFonts w:eastAsia="Times New Roman"/>
          <w:lang w:eastAsia="hr-HR"/>
        </w:rPr>
        <w:tab/>
      </w:r>
    </w:p>
    <w:p w14:paraId="16174D46" w14:textId="363C9E73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8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2D566C">
        <w:rPr>
          <w:rFonts w:eastAsia="Times New Roman"/>
          <w:lang w:eastAsia="hr-HR"/>
        </w:rPr>
        <w:t>144.717,31</w:t>
      </w:r>
      <w:r w:rsidR="005433F7" w:rsidRPr="005433F7">
        <w:rPr>
          <w:rFonts w:eastAsia="Times New Roman"/>
          <w:lang w:eastAsia="hr-HR"/>
        </w:rPr>
        <w:t xml:space="preserve"> eura što u odnosu na tekući plan za 202</w:t>
      </w:r>
      <w:r w:rsidR="002D566C">
        <w:rPr>
          <w:rFonts w:eastAsia="Times New Roman"/>
          <w:lang w:eastAsia="hr-HR"/>
        </w:rPr>
        <w:t>4</w:t>
      </w:r>
      <w:r w:rsidR="005433F7" w:rsidRPr="005433F7">
        <w:rPr>
          <w:rFonts w:eastAsia="Times New Roman"/>
          <w:lang w:eastAsia="hr-HR"/>
        </w:rPr>
        <w:t xml:space="preserve">. godinu predstavlja izvršenje od </w:t>
      </w:r>
      <w:r w:rsidR="002D566C">
        <w:rPr>
          <w:rFonts w:eastAsia="Times New Roman"/>
          <w:lang w:eastAsia="hr-HR"/>
        </w:rPr>
        <w:t>16,67</w:t>
      </w:r>
      <w:r w:rsidR="005433F7" w:rsidRPr="005433F7">
        <w:rPr>
          <w:rFonts w:eastAsia="Times New Roman"/>
          <w:lang w:eastAsia="hr-HR"/>
        </w:rPr>
        <w:t>%. U odnosu na isto razdoblje 202</w:t>
      </w:r>
      <w:r w:rsidR="002D566C">
        <w:rPr>
          <w:rFonts w:eastAsia="Times New Roman"/>
          <w:lang w:eastAsia="hr-HR"/>
        </w:rPr>
        <w:t>3</w:t>
      </w:r>
      <w:r w:rsidR="005433F7" w:rsidRPr="005433F7">
        <w:rPr>
          <w:rFonts w:eastAsia="Times New Roman"/>
          <w:lang w:eastAsia="hr-HR"/>
        </w:rPr>
        <w:t xml:space="preserve">. godine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bilježe </w:t>
      </w:r>
      <w:r w:rsidR="005433F7">
        <w:rPr>
          <w:rFonts w:eastAsia="Times New Roman"/>
          <w:lang w:eastAsia="hr-HR"/>
        </w:rPr>
        <w:t>povećanje</w:t>
      </w:r>
      <w:r w:rsidR="005433F7" w:rsidRPr="005433F7">
        <w:rPr>
          <w:rFonts w:eastAsia="Times New Roman"/>
          <w:lang w:eastAsia="hr-HR"/>
        </w:rPr>
        <w:t xml:space="preserve"> za </w:t>
      </w:r>
      <w:r w:rsidR="002D566C">
        <w:rPr>
          <w:rFonts w:eastAsia="Times New Roman"/>
          <w:lang w:eastAsia="hr-HR"/>
        </w:rPr>
        <w:t>37,97</w:t>
      </w:r>
      <w:r w:rsidR="005433F7" w:rsidRPr="005433F7">
        <w:rPr>
          <w:rFonts w:eastAsia="Times New Roman"/>
          <w:lang w:eastAsia="hr-HR"/>
        </w:rPr>
        <w:t>%.</w:t>
      </w:r>
    </w:p>
    <w:bookmarkEnd w:id="8"/>
    <w:p w14:paraId="671AB06E" w14:textId="654EBF8B" w:rsidR="0003466C" w:rsidRDefault="0003466C" w:rsidP="001C0816">
      <w:pPr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5E8F7D72" w14:textId="1B252854" w:rsidR="008C12F3" w:rsidRDefault="001C0816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433F7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pomoći iz proračuna</w:t>
      </w:r>
      <w:r w:rsidRPr="005433F7">
        <w:rPr>
          <w:rFonts w:eastAsia="Times New Roman"/>
          <w:lang w:eastAsia="hr-HR"/>
        </w:rPr>
        <w:t xml:space="preserve"> iznose </w:t>
      </w:r>
      <w:r w:rsidR="002D566C">
        <w:rPr>
          <w:rFonts w:eastAsia="Times New Roman"/>
          <w:lang w:eastAsia="hr-HR"/>
        </w:rPr>
        <w:t>144.576,91</w:t>
      </w:r>
      <w:r w:rsidRPr="005433F7">
        <w:rPr>
          <w:rFonts w:eastAsia="Times New Roman"/>
          <w:lang w:eastAsia="hr-HR"/>
        </w:rPr>
        <w:t xml:space="preserve"> eura što u odnosu na tekući plan za 202</w:t>
      </w:r>
      <w:r w:rsidR="002D566C">
        <w:rPr>
          <w:rFonts w:eastAsia="Times New Roman"/>
          <w:lang w:eastAsia="hr-HR"/>
        </w:rPr>
        <w:t>4</w:t>
      </w:r>
      <w:r w:rsidRPr="005433F7">
        <w:rPr>
          <w:rFonts w:eastAsia="Times New Roman"/>
          <w:lang w:eastAsia="hr-HR"/>
        </w:rPr>
        <w:t xml:space="preserve">. godinu predstavlja izvršenje od </w:t>
      </w:r>
      <w:r w:rsidR="002D566C">
        <w:rPr>
          <w:rFonts w:eastAsia="Times New Roman"/>
          <w:lang w:eastAsia="hr-HR"/>
        </w:rPr>
        <w:t>24,13</w:t>
      </w:r>
      <w:r w:rsidRPr="005433F7">
        <w:rPr>
          <w:rFonts w:eastAsia="Times New Roman"/>
          <w:lang w:eastAsia="hr-HR"/>
        </w:rPr>
        <w:t>%. U odnosu na isto razdoblje 202</w:t>
      </w:r>
      <w:r w:rsidR="002D566C">
        <w:rPr>
          <w:rFonts w:eastAsia="Times New Roman"/>
          <w:lang w:eastAsia="hr-HR"/>
        </w:rPr>
        <w:t>3</w:t>
      </w:r>
      <w:r w:rsidRPr="005433F7">
        <w:rPr>
          <w:rFonts w:eastAsia="Times New Roman"/>
          <w:lang w:eastAsia="hr-HR"/>
        </w:rPr>
        <w:t xml:space="preserve">. godine ukupni prihodi od </w:t>
      </w:r>
      <w:r>
        <w:rPr>
          <w:rFonts w:eastAsia="Times New Roman"/>
          <w:lang w:eastAsia="hr-HR"/>
        </w:rPr>
        <w:t>pomoći</w:t>
      </w:r>
      <w:r w:rsidRPr="005433F7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5433F7">
        <w:rPr>
          <w:rFonts w:eastAsia="Times New Roman"/>
          <w:lang w:eastAsia="hr-HR"/>
        </w:rPr>
        <w:t xml:space="preserve"> za </w:t>
      </w:r>
      <w:r w:rsidR="002D566C">
        <w:rPr>
          <w:rFonts w:eastAsia="Times New Roman"/>
          <w:lang w:eastAsia="hr-HR"/>
        </w:rPr>
        <w:t>38,04</w:t>
      </w:r>
      <w:r w:rsidRPr="005433F7">
        <w:rPr>
          <w:rFonts w:eastAsia="Times New Roman"/>
          <w:lang w:eastAsia="hr-HR"/>
        </w:rPr>
        <w:t>%.</w:t>
      </w:r>
    </w:p>
    <w:p w14:paraId="05EF5E9B" w14:textId="5CB6CD27" w:rsidR="0003466C" w:rsidRDefault="0003466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634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od ostalih subjekata unutar općeg proračuna: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od HZMO-a, HZZ-a, HZZO-a- financiranje programa Javnih radova</w:t>
      </w:r>
    </w:p>
    <w:p w14:paraId="3E429921" w14:textId="41871E63" w:rsidR="008C12F3" w:rsidRPr="0003466C" w:rsidRDefault="008C12F3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8C12F3">
        <w:rPr>
          <w:rFonts w:eastAsia="Times New Roman"/>
          <w:lang w:eastAsia="hr-HR"/>
        </w:rPr>
        <w:tab/>
        <w:t xml:space="preserve">U izvještajnom razdoblju </w:t>
      </w:r>
      <w:r>
        <w:rPr>
          <w:rFonts w:eastAsia="Times New Roman"/>
          <w:lang w:eastAsia="hr-HR"/>
        </w:rPr>
        <w:t>prihodi nisu ostvareni, kao niti u izvještajnom razdoblju prethodne godine.</w:t>
      </w:r>
    </w:p>
    <w:p w14:paraId="4B0D1056" w14:textId="223C5D45" w:rsidR="0003466C" w:rsidRDefault="0003466C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636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proračunskim korisnicima iz proračuna koji im nije nadležan:</w:t>
      </w:r>
      <w:r w:rsidR="008C12F3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</w:t>
      </w:r>
      <w:r w:rsidR="008C12F3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proračuna proračunskim korisnicima JLPRS- sufinanciranje programa </w:t>
      </w:r>
      <w:proofErr w:type="spellStart"/>
      <w:r w:rsidRPr="0003466C">
        <w:rPr>
          <w:rFonts w:eastAsia="Times New Roman"/>
          <w:i/>
          <w:iCs/>
          <w:sz w:val="20"/>
          <w:szCs w:val="20"/>
          <w:lang w:eastAsia="hr-HR"/>
        </w:rPr>
        <w:t>Predškole</w:t>
      </w:r>
      <w:proofErr w:type="spellEnd"/>
    </w:p>
    <w:p w14:paraId="3555D7C6" w14:textId="45E3E70B" w:rsidR="00D2145A" w:rsidRPr="0003466C" w:rsidRDefault="00D2145A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D2145A">
        <w:rPr>
          <w:rFonts w:eastAsia="Times New Roman"/>
          <w:lang w:eastAsia="hr-HR"/>
        </w:rPr>
        <w:tab/>
        <w:t xml:space="preserve">U izvještajnom razdoblju ostvareni ukupni prihodi od pomoći </w:t>
      </w:r>
      <w:r>
        <w:rPr>
          <w:rFonts w:eastAsia="Times New Roman"/>
          <w:lang w:eastAsia="hr-HR"/>
        </w:rPr>
        <w:t xml:space="preserve">proračunskim korisnicima </w:t>
      </w:r>
      <w:r w:rsidRPr="00D2145A">
        <w:rPr>
          <w:rFonts w:eastAsia="Times New Roman"/>
          <w:lang w:eastAsia="hr-HR"/>
        </w:rPr>
        <w:t xml:space="preserve">iznose </w:t>
      </w:r>
      <w:r w:rsidR="00500BB8">
        <w:rPr>
          <w:rFonts w:eastAsia="Times New Roman"/>
          <w:lang w:eastAsia="hr-HR"/>
        </w:rPr>
        <w:t>140,40</w:t>
      </w:r>
      <w:r w:rsidR="003D1BD1">
        <w:rPr>
          <w:rFonts w:eastAsia="Times New Roman"/>
          <w:lang w:eastAsia="hr-HR"/>
        </w:rPr>
        <w:t xml:space="preserve"> </w:t>
      </w:r>
      <w:r w:rsidRPr="00D2145A">
        <w:rPr>
          <w:rFonts w:eastAsia="Times New Roman"/>
          <w:lang w:eastAsia="hr-HR"/>
        </w:rPr>
        <w:t>eura što u odnosu na tekući plan za 202</w:t>
      </w:r>
      <w:r w:rsidR="00500BB8">
        <w:rPr>
          <w:rFonts w:eastAsia="Times New Roman"/>
          <w:lang w:eastAsia="hr-HR"/>
        </w:rPr>
        <w:t>4</w:t>
      </w:r>
      <w:r w:rsidRPr="00D2145A">
        <w:rPr>
          <w:rFonts w:eastAsia="Times New Roman"/>
          <w:lang w:eastAsia="hr-HR"/>
        </w:rPr>
        <w:t xml:space="preserve">. godinu predstavlja izvršenje od </w:t>
      </w:r>
      <w:r w:rsidR="00500BB8">
        <w:rPr>
          <w:rFonts w:eastAsia="Times New Roman"/>
          <w:lang w:eastAsia="hr-HR"/>
        </w:rPr>
        <w:t>28,08</w:t>
      </w:r>
      <w:r w:rsidRPr="00D2145A">
        <w:rPr>
          <w:rFonts w:eastAsia="Times New Roman"/>
          <w:lang w:eastAsia="hr-HR"/>
        </w:rPr>
        <w:t>%. U isto</w:t>
      </w:r>
      <w:r>
        <w:rPr>
          <w:rFonts w:eastAsia="Times New Roman"/>
          <w:lang w:eastAsia="hr-HR"/>
        </w:rPr>
        <w:t>m</w:t>
      </w:r>
      <w:r w:rsidRPr="00D2145A">
        <w:rPr>
          <w:rFonts w:eastAsia="Times New Roman"/>
          <w:lang w:eastAsia="hr-HR"/>
        </w:rPr>
        <w:t xml:space="preserve"> razdoblj</w:t>
      </w:r>
      <w:r>
        <w:rPr>
          <w:rFonts w:eastAsia="Times New Roman"/>
          <w:lang w:eastAsia="hr-HR"/>
        </w:rPr>
        <w:t>u</w:t>
      </w:r>
      <w:r w:rsidRPr="00D2145A">
        <w:rPr>
          <w:rFonts w:eastAsia="Times New Roman"/>
          <w:lang w:eastAsia="hr-HR"/>
        </w:rPr>
        <w:t xml:space="preserve"> 202</w:t>
      </w:r>
      <w:r w:rsidR="00500BB8">
        <w:rPr>
          <w:rFonts w:eastAsia="Times New Roman"/>
          <w:lang w:eastAsia="hr-HR"/>
        </w:rPr>
        <w:t>3</w:t>
      </w:r>
      <w:r w:rsidRPr="00D2145A">
        <w:rPr>
          <w:rFonts w:eastAsia="Times New Roman"/>
          <w:lang w:eastAsia="hr-HR"/>
        </w:rPr>
        <w:t>. godine prihodi od pomoći</w:t>
      </w:r>
      <w:r>
        <w:rPr>
          <w:rFonts w:eastAsia="Times New Roman"/>
          <w:lang w:eastAsia="hr-HR"/>
        </w:rPr>
        <w:t xml:space="preserve"> proračunskim korisnicima </w:t>
      </w:r>
      <w:r w:rsidR="00500BB8">
        <w:rPr>
          <w:rFonts w:eastAsia="Times New Roman"/>
          <w:lang w:eastAsia="hr-HR"/>
        </w:rPr>
        <w:t>bilježe smanjenje za 7,14%.</w:t>
      </w:r>
    </w:p>
    <w:p w14:paraId="4F389DA4" w14:textId="1554B8E9" w:rsidR="0003466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34130EFD" w14:textId="3DC6B03C" w:rsidR="002D46D3" w:rsidRPr="00500BB8" w:rsidRDefault="002D46D3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500BB8">
        <w:rPr>
          <w:rFonts w:eastAsia="Times New Roman"/>
          <w:lang w:eastAsia="hr-HR"/>
        </w:rPr>
        <w:tab/>
      </w:r>
      <w:r w:rsidR="00500BB8" w:rsidRPr="00500BB8">
        <w:rPr>
          <w:rFonts w:eastAsia="Times New Roman"/>
          <w:lang w:eastAsia="hr-HR"/>
        </w:rPr>
        <w:t>U izvještajnom razdoblju prihodi nisu ostvareni, kao niti u izvještajnom razdoblju prethodne godine.</w:t>
      </w:r>
    </w:p>
    <w:p w14:paraId="4A0473B8" w14:textId="77777777" w:rsidR="0003466C" w:rsidRPr="0003466C" w:rsidRDefault="0003466C" w:rsidP="0003466C">
      <w:pPr>
        <w:widowControl w:val="0"/>
        <w:autoSpaceDE w:val="0"/>
        <w:autoSpaceDN w:val="0"/>
        <w:ind w:left="873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59E53161" w14:textId="47DDE7A1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lastRenderedPageBreak/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3E3CD3">
        <w:rPr>
          <w:rFonts w:eastAsia="Times New Roman"/>
          <w:lang w:eastAsia="hr-HR"/>
        </w:rPr>
        <w:t>10.398,55</w:t>
      </w:r>
      <w:r w:rsidR="000169AD" w:rsidRPr="000169AD">
        <w:rPr>
          <w:rFonts w:eastAsia="Times New Roman"/>
          <w:lang w:eastAsia="hr-HR"/>
        </w:rPr>
        <w:t xml:space="preserve"> eura što u odnosu na tekući plan za 202</w:t>
      </w:r>
      <w:r w:rsidR="003E3CD3">
        <w:rPr>
          <w:rFonts w:eastAsia="Times New Roman"/>
          <w:lang w:eastAsia="hr-HR"/>
        </w:rPr>
        <w:t>4</w:t>
      </w:r>
      <w:r w:rsidR="000169AD" w:rsidRPr="000169AD">
        <w:rPr>
          <w:rFonts w:eastAsia="Times New Roman"/>
          <w:lang w:eastAsia="hr-HR"/>
        </w:rPr>
        <w:t xml:space="preserve">. godinu predstavlja izvršenje od </w:t>
      </w:r>
      <w:r w:rsidR="003E3CD3">
        <w:rPr>
          <w:rFonts w:eastAsia="Times New Roman"/>
          <w:lang w:eastAsia="hr-HR"/>
        </w:rPr>
        <w:t>49,28</w:t>
      </w:r>
      <w:r w:rsidR="000169AD" w:rsidRPr="000169AD">
        <w:rPr>
          <w:rFonts w:eastAsia="Times New Roman"/>
          <w:lang w:eastAsia="hr-HR"/>
        </w:rPr>
        <w:t>%. U odnosu na isto razdoblje 202</w:t>
      </w:r>
      <w:r w:rsidR="003E3CD3">
        <w:rPr>
          <w:rFonts w:eastAsia="Times New Roman"/>
          <w:lang w:eastAsia="hr-HR"/>
        </w:rPr>
        <w:t>3</w:t>
      </w:r>
      <w:r w:rsidR="000169AD" w:rsidRPr="000169AD">
        <w:rPr>
          <w:rFonts w:eastAsia="Times New Roman"/>
          <w:lang w:eastAsia="hr-HR"/>
        </w:rPr>
        <w:t xml:space="preserve">. godine ukupni prihodi od pomoći bilježe povećanje za </w:t>
      </w:r>
      <w:r w:rsidR="003E3CD3">
        <w:rPr>
          <w:rFonts w:eastAsia="Times New Roman"/>
          <w:lang w:eastAsia="hr-HR"/>
        </w:rPr>
        <w:t>77,86</w:t>
      </w:r>
      <w:r w:rsidR="000169AD" w:rsidRPr="000169AD">
        <w:rPr>
          <w:rFonts w:eastAsia="Times New Roman"/>
          <w:lang w:eastAsia="hr-HR"/>
        </w:rPr>
        <w:t>%.</w:t>
      </w:r>
    </w:p>
    <w:p w14:paraId="2DB0A1D3" w14:textId="6AA9EC53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076C3FF5" w14:textId="4A5BD7C8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1F5227">
        <w:rPr>
          <w:rFonts w:eastAsia="Times New Roman"/>
          <w:lang w:eastAsia="hr-HR"/>
        </w:rPr>
        <w:t>10.398,55</w:t>
      </w:r>
      <w:r w:rsidRPr="000169AD">
        <w:rPr>
          <w:rFonts w:eastAsia="Times New Roman"/>
          <w:lang w:eastAsia="hr-HR"/>
        </w:rPr>
        <w:t xml:space="preserve"> eura što u odnosu na tekući plan za 202</w:t>
      </w:r>
      <w:r w:rsidR="001F5227">
        <w:rPr>
          <w:rFonts w:eastAsia="Times New Roman"/>
          <w:lang w:eastAsia="hr-HR"/>
        </w:rPr>
        <w:t>4</w:t>
      </w:r>
      <w:r w:rsidRPr="000169AD">
        <w:rPr>
          <w:rFonts w:eastAsia="Times New Roman"/>
          <w:lang w:eastAsia="hr-HR"/>
        </w:rPr>
        <w:t xml:space="preserve">. godinu predstavlja izvršenje od </w:t>
      </w:r>
      <w:r w:rsidR="001F5227">
        <w:rPr>
          <w:rFonts w:eastAsia="Times New Roman"/>
          <w:lang w:eastAsia="hr-HR"/>
        </w:rPr>
        <w:t>49,28</w:t>
      </w:r>
      <w:r w:rsidRPr="000169AD">
        <w:rPr>
          <w:rFonts w:eastAsia="Times New Roman"/>
          <w:lang w:eastAsia="hr-HR"/>
        </w:rPr>
        <w:t>%. U odnosu na isto razdoblje 202</w:t>
      </w:r>
      <w:r w:rsidR="001F5227">
        <w:rPr>
          <w:rFonts w:eastAsia="Times New Roman"/>
          <w:lang w:eastAsia="hr-HR"/>
        </w:rPr>
        <w:t>3</w:t>
      </w:r>
      <w:r w:rsidRPr="000169AD">
        <w:rPr>
          <w:rFonts w:eastAsia="Times New Roman"/>
          <w:lang w:eastAsia="hr-HR"/>
        </w:rPr>
        <w:t xml:space="preserve">. godine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povećanje za </w:t>
      </w:r>
      <w:r w:rsidR="001F5227">
        <w:rPr>
          <w:rFonts w:eastAsia="Times New Roman"/>
          <w:lang w:eastAsia="hr-HR"/>
        </w:rPr>
        <w:t>77,86</w:t>
      </w:r>
      <w:r w:rsidRPr="000169AD">
        <w:rPr>
          <w:rFonts w:eastAsia="Times New Roman"/>
          <w:lang w:eastAsia="hr-HR"/>
        </w:rPr>
        <w:t>%.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086B98BA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9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1F5227">
        <w:rPr>
          <w:rFonts w:eastAsia="Times New Roman"/>
          <w:lang w:eastAsia="hr-HR"/>
        </w:rPr>
        <w:t>66.224,95</w:t>
      </w:r>
      <w:r w:rsidR="00236399" w:rsidRPr="00236399">
        <w:rPr>
          <w:rFonts w:eastAsia="Times New Roman"/>
          <w:lang w:eastAsia="hr-HR"/>
        </w:rPr>
        <w:t xml:space="preserve"> eura što u odnosu na tekući plan za 202</w:t>
      </w:r>
      <w:r w:rsidR="001F5227">
        <w:rPr>
          <w:rFonts w:eastAsia="Times New Roman"/>
          <w:lang w:eastAsia="hr-HR"/>
        </w:rPr>
        <w:t>4</w:t>
      </w:r>
      <w:r w:rsidR="00236399" w:rsidRPr="00236399">
        <w:rPr>
          <w:rFonts w:eastAsia="Times New Roman"/>
          <w:lang w:eastAsia="hr-HR"/>
        </w:rPr>
        <w:t xml:space="preserve">. godinu predstavlja izvršenje od </w:t>
      </w:r>
      <w:r w:rsidR="001F5227">
        <w:rPr>
          <w:rFonts w:eastAsia="Times New Roman"/>
          <w:lang w:eastAsia="hr-HR"/>
        </w:rPr>
        <w:t>39,95</w:t>
      </w:r>
      <w:r w:rsidR="00236399" w:rsidRPr="00236399">
        <w:rPr>
          <w:rFonts w:eastAsia="Times New Roman"/>
          <w:lang w:eastAsia="hr-HR"/>
        </w:rPr>
        <w:t>%. U odnosu na isto razdoblje 202</w:t>
      </w:r>
      <w:r w:rsidR="001F5227">
        <w:rPr>
          <w:rFonts w:eastAsia="Times New Roman"/>
          <w:lang w:eastAsia="hr-HR"/>
        </w:rPr>
        <w:t>3</w:t>
      </w:r>
      <w:r w:rsidR="00236399" w:rsidRPr="00236399">
        <w:rPr>
          <w:rFonts w:eastAsia="Times New Roman"/>
          <w:lang w:eastAsia="hr-HR"/>
        </w:rPr>
        <w:t xml:space="preserve">. godine ukupni prihodi od pomoći bilježe povećanje za </w:t>
      </w:r>
      <w:r w:rsidR="001F5227">
        <w:rPr>
          <w:rFonts w:eastAsia="Times New Roman"/>
          <w:lang w:eastAsia="hr-HR"/>
        </w:rPr>
        <w:t>14,01</w:t>
      </w:r>
      <w:r w:rsidR="00236399" w:rsidRPr="00236399">
        <w:rPr>
          <w:rFonts w:eastAsia="Times New Roman"/>
          <w:lang w:eastAsia="hr-HR"/>
        </w:rPr>
        <w:t>%.</w:t>
      </w:r>
    </w:p>
    <w:bookmarkEnd w:id="9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3847A514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državnih biljega</w:t>
      </w:r>
    </w:p>
    <w:p w14:paraId="78B8AF62" w14:textId="01FA86CF" w:rsidR="00A0173B" w:rsidRDefault="00A0173B" w:rsidP="00A0173B">
      <w:pPr>
        <w:ind w:left="1276" w:hanging="556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>U izvještajnom razdoblju nisu ostvareni, kao niti u izvještajnom razdoblju prethodne godine.</w:t>
      </w:r>
    </w:p>
    <w:p w14:paraId="749AC547" w14:textId="77777777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3C7B7EF2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67C65754" w14:textId="05046967" w:rsidR="00A0173B" w:rsidRDefault="00A0173B" w:rsidP="00A0173B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bookmarkStart w:id="10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1F5227">
        <w:rPr>
          <w:rFonts w:eastAsia="Times New Roman"/>
          <w:lang w:eastAsia="hr-HR"/>
        </w:rPr>
        <w:t>27.446,37</w:t>
      </w:r>
      <w:r w:rsidRPr="00236399">
        <w:rPr>
          <w:rFonts w:eastAsia="Times New Roman"/>
          <w:lang w:eastAsia="hr-HR"/>
        </w:rPr>
        <w:t xml:space="preserve"> eura što u odnosu na tekući plan za 202</w:t>
      </w:r>
      <w:r w:rsidR="001F5227">
        <w:rPr>
          <w:rFonts w:eastAsia="Times New Roman"/>
          <w:lang w:eastAsia="hr-HR"/>
        </w:rPr>
        <w:t>4</w:t>
      </w:r>
      <w:r w:rsidRPr="00236399">
        <w:rPr>
          <w:rFonts w:eastAsia="Times New Roman"/>
          <w:lang w:eastAsia="hr-HR"/>
        </w:rPr>
        <w:t xml:space="preserve">. godinu predstavlja izvršenje od </w:t>
      </w:r>
      <w:r w:rsidR="001F5227">
        <w:rPr>
          <w:rFonts w:eastAsia="Times New Roman"/>
          <w:lang w:eastAsia="hr-HR"/>
        </w:rPr>
        <w:t>38,85</w:t>
      </w:r>
      <w:r w:rsidRPr="00236399">
        <w:rPr>
          <w:rFonts w:eastAsia="Times New Roman"/>
          <w:lang w:eastAsia="hr-HR"/>
        </w:rPr>
        <w:t>%. U odnosu na isto razdoblje 202</w:t>
      </w:r>
      <w:r w:rsidR="001F5227">
        <w:rPr>
          <w:rFonts w:eastAsia="Times New Roman"/>
          <w:lang w:eastAsia="hr-HR"/>
        </w:rPr>
        <w:t>3</w:t>
      </w:r>
      <w:r w:rsidRPr="00236399">
        <w:rPr>
          <w:rFonts w:eastAsia="Times New Roman"/>
          <w:lang w:eastAsia="hr-HR"/>
        </w:rPr>
        <w:t xml:space="preserve">. godine ukupni prihodi od pomoći bilježe povećanje za </w:t>
      </w:r>
      <w:r w:rsidR="001F5227">
        <w:rPr>
          <w:rFonts w:eastAsia="Times New Roman"/>
          <w:lang w:eastAsia="hr-HR"/>
        </w:rPr>
        <w:t>17,57</w:t>
      </w:r>
      <w:r w:rsidRPr="00236399">
        <w:rPr>
          <w:rFonts w:eastAsia="Times New Roman"/>
          <w:lang w:eastAsia="hr-HR"/>
        </w:rPr>
        <w:t>%.</w:t>
      </w:r>
      <w:bookmarkEnd w:id="10"/>
    </w:p>
    <w:p w14:paraId="4D60EB3B" w14:textId="77777777" w:rsidR="00120167" w:rsidRDefault="00120167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b/>
          <w:bCs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37E53C30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3859B2">
        <w:rPr>
          <w:rFonts w:eastAsia="Times New Roman"/>
          <w:lang w:eastAsia="hr-HR"/>
        </w:rPr>
        <w:t>38.778,58</w:t>
      </w:r>
      <w:r w:rsidRPr="00236399">
        <w:rPr>
          <w:rFonts w:eastAsia="Times New Roman"/>
          <w:lang w:eastAsia="hr-HR"/>
        </w:rPr>
        <w:t xml:space="preserve"> eura što u odnosu na tekući plan za 202</w:t>
      </w:r>
      <w:r w:rsidR="003859B2">
        <w:rPr>
          <w:rFonts w:eastAsia="Times New Roman"/>
          <w:lang w:eastAsia="hr-HR"/>
        </w:rPr>
        <w:t>4</w:t>
      </w:r>
      <w:r w:rsidRPr="00236399">
        <w:rPr>
          <w:rFonts w:eastAsia="Times New Roman"/>
          <w:lang w:eastAsia="hr-HR"/>
        </w:rPr>
        <w:t xml:space="preserve">. godinu predstavlja izvršenje od </w:t>
      </w:r>
      <w:r w:rsidR="003859B2">
        <w:rPr>
          <w:rFonts w:eastAsia="Times New Roman"/>
          <w:lang w:eastAsia="hr-HR"/>
        </w:rPr>
        <w:t>40,82</w:t>
      </w:r>
      <w:r w:rsidRPr="00236399">
        <w:rPr>
          <w:rFonts w:eastAsia="Times New Roman"/>
          <w:lang w:eastAsia="hr-HR"/>
        </w:rPr>
        <w:t>%. U odnosu na isto razdoblje 202</w:t>
      </w:r>
      <w:r w:rsidR="003859B2">
        <w:rPr>
          <w:rFonts w:eastAsia="Times New Roman"/>
          <w:lang w:eastAsia="hr-HR"/>
        </w:rPr>
        <w:t>3</w:t>
      </w:r>
      <w:r w:rsidRPr="00236399">
        <w:rPr>
          <w:rFonts w:eastAsia="Times New Roman"/>
          <w:lang w:eastAsia="hr-HR"/>
        </w:rPr>
        <w:t xml:space="preserve">. godine ukupni prihodi od pomoći bilježe povećanje za </w:t>
      </w:r>
      <w:r w:rsidR="003859B2">
        <w:rPr>
          <w:rFonts w:eastAsia="Times New Roman"/>
          <w:lang w:eastAsia="hr-HR"/>
        </w:rPr>
        <w:t>11,63</w:t>
      </w:r>
      <w:r w:rsidRPr="00236399">
        <w:rPr>
          <w:rFonts w:eastAsia="Times New Roman"/>
          <w:lang w:eastAsia="hr-HR"/>
        </w:rPr>
        <w:t>%.</w:t>
      </w:r>
    </w:p>
    <w:p w14:paraId="2E189226" w14:textId="1DEA5440" w:rsidR="00843851" w:rsidRDefault="0003466C" w:rsidP="00843851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66- Prihodi od prodaje proizvoda i roba te pruženih usluga i prihoda od donacij</w:t>
      </w:r>
      <w:r w:rsidR="00843851">
        <w:rPr>
          <w:rFonts w:eastAsia="Times New Roman"/>
          <w:b/>
          <w:bCs/>
          <w:lang w:eastAsia="hr-HR"/>
        </w:rPr>
        <w:t xml:space="preserve">a: </w:t>
      </w:r>
      <w:r w:rsidR="00843851"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327F07">
        <w:rPr>
          <w:rFonts w:eastAsia="Times New Roman"/>
          <w:lang w:eastAsia="hr-HR"/>
        </w:rPr>
        <w:t>22.980,01</w:t>
      </w:r>
      <w:r w:rsidR="00843851" w:rsidRPr="00843851">
        <w:rPr>
          <w:rFonts w:eastAsia="Times New Roman"/>
          <w:lang w:eastAsia="hr-HR"/>
        </w:rPr>
        <w:t xml:space="preserve"> eura što u odnosu na tekući plan za 202</w:t>
      </w:r>
      <w:r w:rsidR="00327F07">
        <w:rPr>
          <w:rFonts w:eastAsia="Times New Roman"/>
          <w:lang w:eastAsia="hr-HR"/>
        </w:rPr>
        <w:t>4</w:t>
      </w:r>
      <w:r w:rsidR="00843851" w:rsidRPr="00843851">
        <w:rPr>
          <w:rFonts w:eastAsia="Times New Roman"/>
          <w:lang w:eastAsia="hr-HR"/>
        </w:rPr>
        <w:t xml:space="preserve">. godinu predstavlja izvršenje od </w:t>
      </w:r>
      <w:r w:rsidR="00327F07">
        <w:rPr>
          <w:rFonts w:eastAsia="Times New Roman"/>
          <w:lang w:eastAsia="hr-HR"/>
        </w:rPr>
        <w:t>57,45</w:t>
      </w:r>
      <w:r w:rsidR="00120167">
        <w:rPr>
          <w:rFonts w:eastAsia="Times New Roman"/>
          <w:lang w:eastAsia="hr-HR"/>
        </w:rPr>
        <w:t>5</w:t>
      </w:r>
      <w:r w:rsidR="00843851" w:rsidRPr="00843851">
        <w:rPr>
          <w:rFonts w:eastAsia="Times New Roman"/>
          <w:lang w:eastAsia="hr-HR"/>
        </w:rPr>
        <w:t>%. U odnosu na isto razdoblje 202</w:t>
      </w:r>
      <w:r w:rsidR="00327F07">
        <w:rPr>
          <w:rFonts w:eastAsia="Times New Roman"/>
          <w:lang w:eastAsia="hr-HR"/>
        </w:rPr>
        <w:t>3</w:t>
      </w:r>
      <w:r w:rsidR="00843851" w:rsidRPr="00843851">
        <w:rPr>
          <w:rFonts w:eastAsia="Times New Roman"/>
          <w:lang w:eastAsia="hr-HR"/>
        </w:rPr>
        <w:t xml:space="preserve">. godine ukupni prihodi od pomoći bilježe </w:t>
      </w:r>
      <w:r w:rsidR="00327F07">
        <w:rPr>
          <w:rFonts w:eastAsia="Times New Roman"/>
          <w:lang w:eastAsia="hr-HR"/>
        </w:rPr>
        <w:t>smanjenje</w:t>
      </w:r>
      <w:r w:rsidR="00843851" w:rsidRPr="00843851">
        <w:rPr>
          <w:rFonts w:eastAsia="Times New Roman"/>
          <w:lang w:eastAsia="hr-HR"/>
        </w:rPr>
        <w:t xml:space="preserve"> za </w:t>
      </w:r>
      <w:r w:rsidR="00327F07">
        <w:rPr>
          <w:rFonts w:eastAsia="Times New Roman"/>
          <w:lang w:eastAsia="hr-HR"/>
        </w:rPr>
        <w:t>20</w:t>
      </w:r>
      <w:r w:rsidR="00843851" w:rsidRPr="00843851">
        <w:rPr>
          <w:rFonts w:eastAsia="Times New Roman"/>
          <w:lang w:eastAsia="hr-HR"/>
        </w:rPr>
        <w:t>%.</w:t>
      </w:r>
    </w:p>
    <w:p w14:paraId="0EEF11F6" w14:textId="61331C1D" w:rsidR="0003466C" w:rsidRPr="0003466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661 </w:t>
      </w:r>
      <w:r w:rsidRPr="00843851">
        <w:rPr>
          <w:rFonts w:eastAsia="Times New Roman"/>
          <w:b/>
          <w:bCs/>
          <w:lang w:eastAsia="hr-HR"/>
        </w:rPr>
        <w:t xml:space="preserve">- </w:t>
      </w:r>
      <w:r w:rsidR="0003466C" w:rsidRPr="0003466C">
        <w:rPr>
          <w:rFonts w:eastAsia="Times New Roman"/>
          <w:b/>
          <w:bCs/>
          <w:lang w:eastAsia="hr-HR"/>
        </w:rPr>
        <w:t>Prihodi od prodaje proizvoda i roba te pruženih usluga: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pruženih usluga- Isporuka toplinske energije</w:t>
      </w:r>
    </w:p>
    <w:p w14:paraId="0490C304" w14:textId="40CD3878" w:rsidR="0003466C" w:rsidRPr="0003466C" w:rsidRDefault="00843851" w:rsidP="00843851">
      <w:pPr>
        <w:ind w:left="1276"/>
        <w:jc w:val="both"/>
        <w:rPr>
          <w:rFonts w:eastAsia="Times New Roman"/>
          <w:lang w:eastAsia="hr-HR"/>
        </w:rPr>
      </w:pPr>
      <w:r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8C78BC">
        <w:rPr>
          <w:rFonts w:eastAsia="Times New Roman"/>
          <w:lang w:eastAsia="hr-HR"/>
        </w:rPr>
        <w:t>22.980,01</w:t>
      </w:r>
      <w:r w:rsidRPr="00843851">
        <w:rPr>
          <w:rFonts w:eastAsia="Times New Roman"/>
          <w:lang w:eastAsia="hr-HR"/>
        </w:rPr>
        <w:t xml:space="preserve"> eura što u odnosu na tekući plan za 202</w:t>
      </w:r>
      <w:r w:rsidR="008C78BC">
        <w:rPr>
          <w:rFonts w:eastAsia="Times New Roman"/>
          <w:lang w:eastAsia="hr-HR"/>
        </w:rPr>
        <w:t>4</w:t>
      </w:r>
      <w:r w:rsidRPr="00843851">
        <w:rPr>
          <w:rFonts w:eastAsia="Times New Roman"/>
          <w:lang w:eastAsia="hr-HR"/>
        </w:rPr>
        <w:t xml:space="preserve">. godinu predstavlja izvršenje od </w:t>
      </w:r>
      <w:r w:rsidR="008C78BC">
        <w:rPr>
          <w:rFonts w:eastAsia="Times New Roman"/>
          <w:lang w:eastAsia="hr-HR"/>
        </w:rPr>
        <w:t>57,45</w:t>
      </w:r>
      <w:r w:rsidRPr="00843851">
        <w:rPr>
          <w:rFonts w:eastAsia="Times New Roman"/>
          <w:lang w:eastAsia="hr-HR"/>
        </w:rPr>
        <w:t>%. U odnosu na isto razdoblje 202</w:t>
      </w:r>
      <w:r w:rsidR="008C78BC">
        <w:rPr>
          <w:rFonts w:eastAsia="Times New Roman"/>
          <w:lang w:eastAsia="hr-HR"/>
        </w:rPr>
        <w:t>3</w:t>
      </w:r>
      <w:r w:rsidRPr="00843851">
        <w:rPr>
          <w:rFonts w:eastAsia="Times New Roman"/>
          <w:lang w:eastAsia="hr-HR"/>
        </w:rPr>
        <w:t xml:space="preserve">. godine ukupni prihodi od pomoći bilježe </w:t>
      </w:r>
      <w:r w:rsidR="008C78BC">
        <w:rPr>
          <w:rFonts w:eastAsia="Times New Roman"/>
          <w:lang w:eastAsia="hr-HR"/>
        </w:rPr>
        <w:t>smanjenje</w:t>
      </w:r>
      <w:r w:rsidRPr="00843851">
        <w:rPr>
          <w:rFonts w:eastAsia="Times New Roman"/>
          <w:lang w:eastAsia="hr-HR"/>
        </w:rPr>
        <w:t xml:space="preserve"> za</w:t>
      </w:r>
      <w:r w:rsidR="00120167">
        <w:rPr>
          <w:rFonts w:eastAsia="Times New Roman"/>
          <w:lang w:eastAsia="hr-HR"/>
        </w:rPr>
        <w:t xml:space="preserve"> </w:t>
      </w:r>
      <w:r w:rsidR="008C78BC">
        <w:rPr>
          <w:rFonts w:eastAsia="Times New Roman"/>
          <w:lang w:eastAsia="hr-HR"/>
        </w:rPr>
        <w:t>20</w:t>
      </w:r>
      <w:r w:rsidRPr="00843851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5CC49DEC" w14:textId="248C266E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>: u izvještajnom razdoblju</w:t>
      </w:r>
      <w:r w:rsidR="00120167">
        <w:rPr>
          <w:rFonts w:eastAsia="Times New Roman"/>
          <w:lang w:eastAsia="hr-HR"/>
        </w:rPr>
        <w:t xml:space="preserve"> ostvareni ukupni prihodi od prodaje nefinancijske imovine ostvareni su u iznosu od </w:t>
      </w:r>
      <w:r w:rsidR="00EC7FA1">
        <w:rPr>
          <w:rFonts w:eastAsia="Times New Roman"/>
          <w:lang w:eastAsia="hr-HR"/>
        </w:rPr>
        <w:t>7.064,50</w:t>
      </w:r>
      <w:r w:rsidR="00120167">
        <w:rPr>
          <w:rFonts w:eastAsia="Times New Roman"/>
          <w:lang w:eastAsia="hr-HR"/>
        </w:rPr>
        <w:t xml:space="preserve"> eura, što u odnosu na tekući plan za 202</w:t>
      </w:r>
      <w:r w:rsidR="00EC7FA1">
        <w:rPr>
          <w:rFonts w:eastAsia="Times New Roman"/>
          <w:lang w:eastAsia="hr-HR"/>
        </w:rPr>
        <w:t>4</w:t>
      </w:r>
      <w:r w:rsidR="00120167">
        <w:rPr>
          <w:rFonts w:eastAsia="Times New Roman"/>
          <w:lang w:eastAsia="hr-HR"/>
        </w:rPr>
        <w:t xml:space="preserve">. godinu predstavlja izvršenje od </w:t>
      </w:r>
      <w:r w:rsidR="00EC7FA1">
        <w:rPr>
          <w:rFonts w:eastAsia="Times New Roman"/>
          <w:lang w:eastAsia="hr-HR"/>
        </w:rPr>
        <w:t>42,56</w:t>
      </w:r>
      <w:r w:rsidR="00120167">
        <w:rPr>
          <w:rFonts w:eastAsia="Times New Roman"/>
          <w:lang w:eastAsia="hr-HR"/>
        </w:rPr>
        <w:t xml:space="preserve">%. </w:t>
      </w:r>
      <w:bookmarkStart w:id="11" w:name="_Hlk179549060"/>
      <w:r w:rsidR="00EC7FA1">
        <w:rPr>
          <w:rFonts w:eastAsia="Times New Roman"/>
          <w:lang w:eastAsia="hr-HR"/>
        </w:rPr>
        <w:t>U istom</w:t>
      </w:r>
      <w:r w:rsidR="0035356F">
        <w:rPr>
          <w:rFonts w:eastAsia="Times New Roman"/>
          <w:lang w:eastAsia="hr-HR"/>
        </w:rPr>
        <w:t xml:space="preserve"> razdoblj</w:t>
      </w:r>
      <w:r w:rsidR="00EC7FA1">
        <w:rPr>
          <w:rFonts w:eastAsia="Times New Roman"/>
          <w:lang w:eastAsia="hr-HR"/>
        </w:rPr>
        <w:t>u</w:t>
      </w:r>
      <w:r w:rsidR="0035356F">
        <w:rPr>
          <w:rFonts w:eastAsia="Times New Roman"/>
          <w:lang w:eastAsia="hr-HR"/>
        </w:rPr>
        <w:t xml:space="preserve"> 202</w:t>
      </w:r>
      <w:r w:rsidR="00EC7FA1">
        <w:rPr>
          <w:rFonts w:eastAsia="Times New Roman"/>
          <w:lang w:eastAsia="hr-HR"/>
        </w:rPr>
        <w:t>3</w:t>
      </w:r>
      <w:r w:rsidR="0035356F">
        <w:rPr>
          <w:rFonts w:eastAsia="Times New Roman"/>
          <w:lang w:eastAsia="hr-HR"/>
        </w:rPr>
        <w:t xml:space="preserve">. godine prihodi od prodaje nefinancijske imovine </w:t>
      </w:r>
      <w:r w:rsidR="00EC7FA1">
        <w:rPr>
          <w:rFonts w:eastAsia="Times New Roman"/>
          <w:lang w:eastAsia="hr-HR"/>
        </w:rPr>
        <w:t>nisu ostvareni.</w:t>
      </w:r>
    </w:p>
    <w:bookmarkEnd w:id="11"/>
    <w:p w14:paraId="7DEB4ECE" w14:textId="77777777" w:rsidR="0003466C" w:rsidRPr="0003466C" w:rsidRDefault="0003466C" w:rsidP="0003466C">
      <w:pPr>
        <w:jc w:val="both"/>
        <w:rPr>
          <w:rFonts w:eastAsia="Times New Roman"/>
          <w:lang w:eastAsia="hr-HR"/>
        </w:rPr>
      </w:pPr>
    </w:p>
    <w:p w14:paraId="200D53BE" w14:textId="78CE7C86" w:rsidR="00F209B8" w:rsidRPr="009A3165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 xml:space="preserve">- Prihodi od prodaje </w:t>
      </w:r>
      <w:proofErr w:type="spellStart"/>
      <w:r w:rsidR="0003466C" w:rsidRPr="0003466C">
        <w:rPr>
          <w:rFonts w:eastAsia="Times New Roman"/>
          <w:b/>
          <w:bCs/>
          <w:lang w:eastAsia="hr-HR"/>
        </w:rPr>
        <w:t>neproizvedene</w:t>
      </w:r>
      <w:proofErr w:type="spellEnd"/>
      <w:r w:rsidR="0003466C" w:rsidRPr="0003466C">
        <w:rPr>
          <w:rFonts w:eastAsia="Times New Roman"/>
          <w:b/>
          <w:bCs/>
          <w:lang w:eastAsia="hr-HR"/>
        </w:rPr>
        <w:t xml:space="preserve"> 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 w:rsidR="009A3165" w:rsidRPr="009A3165">
        <w:rPr>
          <w:rFonts w:eastAsia="Times New Roman"/>
          <w:lang w:eastAsia="hr-HR"/>
        </w:rPr>
        <w:t xml:space="preserve">U izvještajnom razdoblju ostvareni ukupni prihodi iznose </w:t>
      </w:r>
      <w:r w:rsidR="009A3165">
        <w:rPr>
          <w:rFonts w:eastAsia="Times New Roman"/>
          <w:lang w:eastAsia="hr-HR"/>
        </w:rPr>
        <w:t>7.064,50</w:t>
      </w:r>
      <w:r w:rsidR="009A3165" w:rsidRPr="009A3165">
        <w:rPr>
          <w:rFonts w:eastAsia="Times New Roman"/>
          <w:lang w:eastAsia="hr-HR"/>
        </w:rPr>
        <w:t xml:space="preserve"> eura što u odnosu na tekući plan za 2024. godinu predstavlja izvršenje od </w:t>
      </w:r>
      <w:r w:rsidR="009A3165">
        <w:rPr>
          <w:rFonts w:eastAsia="Times New Roman"/>
          <w:lang w:eastAsia="hr-HR"/>
        </w:rPr>
        <w:t>44,15</w:t>
      </w:r>
      <w:r w:rsidR="009A3165" w:rsidRPr="009A3165">
        <w:rPr>
          <w:rFonts w:eastAsia="Times New Roman"/>
          <w:lang w:eastAsia="hr-HR"/>
        </w:rPr>
        <w:t>%. U istom razdoblju 2023. godine prihodi od prodaje nefinancijske imovine nisu ostvareni.</w:t>
      </w:r>
    </w:p>
    <w:p w14:paraId="47265E85" w14:textId="687BB78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lastRenderedPageBreak/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64E7EF08" w14:textId="136DDD46" w:rsidR="00F209B8" w:rsidRP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35356F">
        <w:rPr>
          <w:rFonts w:eastAsia="Times New Roman"/>
          <w:lang w:eastAsia="hr-HR"/>
        </w:rPr>
        <w:t xml:space="preserve">U izvještajnom razdoblju ostvareni ukupni prihodi od prodaje </w:t>
      </w:r>
      <w:proofErr w:type="spellStart"/>
      <w:r w:rsidR="0035356F">
        <w:rPr>
          <w:rFonts w:eastAsia="Times New Roman"/>
          <w:lang w:eastAsia="hr-HR"/>
        </w:rPr>
        <w:t>neproizvedene</w:t>
      </w:r>
      <w:proofErr w:type="spellEnd"/>
      <w:r w:rsidR="0035356F">
        <w:rPr>
          <w:rFonts w:eastAsia="Times New Roman"/>
          <w:lang w:eastAsia="hr-HR"/>
        </w:rPr>
        <w:t xml:space="preserve"> imovine ostvareni su u iznosu od </w:t>
      </w:r>
      <w:r w:rsidR="009A3165">
        <w:rPr>
          <w:rFonts w:eastAsia="Times New Roman"/>
          <w:lang w:eastAsia="hr-HR"/>
        </w:rPr>
        <w:t>7.064,50</w:t>
      </w:r>
      <w:r w:rsidR="0035356F">
        <w:rPr>
          <w:rFonts w:eastAsia="Times New Roman"/>
          <w:lang w:eastAsia="hr-HR"/>
        </w:rPr>
        <w:t xml:space="preserve"> eura, što u odnosu na tekući plan za 202</w:t>
      </w:r>
      <w:r w:rsidR="009A3165">
        <w:rPr>
          <w:rFonts w:eastAsia="Times New Roman"/>
          <w:lang w:eastAsia="hr-HR"/>
        </w:rPr>
        <w:t>4</w:t>
      </w:r>
      <w:r w:rsidR="0035356F">
        <w:rPr>
          <w:rFonts w:eastAsia="Times New Roman"/>
          <w:lang w:eastAsia="hr-HR"/>
        </w:rPr>
        <w:t xml:space="preserve">. godinu predstavlja izvršenje od </w:t>
      </w:r>
      <w:r w:rsidR="009A3165">
        <w:rPr>
          <w:rFonts w:eastAsia="Times New Roman"/>
          <w:lang w:eastAsia="hr-HR"/>
        </w:rPr>
        <w:t>44,15</w:t>
      </w:r>
      <w:r w:rsidR="0035356F">
        <w:rPr>
          <w:rFonts w:eastAsia="Times New Roman"/>
          <w:lang w:eastAsia="hr-HR"/>
        </w:rPr>
        <w:t xml:space="preserve">%. </w:t>
      </w:r>
      <w:r w:rsidR="009A3165" w:rsidRPr="009A3165">
        <w:rPr>
          <w:rFonts w:eastAsia="Times New Roman"/>
          <w:lang w:eastAsia="hr-HR"/>
        </w:rPr>
        <w:t xml:space="preserve">U istom razdoblju 2023. godine prihodi od prodaje </w:t>
      </w:r>
      <w:r w:rsidR="009A3165">
        <w:rPr>
          <w:rFonts w:eastAsia="Times New Roman"/>
          <w:lang w:eastAsia="hr-HR"/>
        </w:rPr>
        <w:t xml:space="preserve">materijalne </w:t>
      </w:r>
      <w:r w:rsidR="009A3165" w:rsidRPr="009A3165">
        <w:rPr>
          <w:rFonts w:eastAsia="Times New Roman"/>
          <w:lang w:eastAsia="hr-HR"/>
        </w:rPr>
        <w:t xml:space="preserve"> imovine nisu ostvareni.</w:t>
      </w:r>
    </w:p>
    <w:p w14:paraId="048DC551" w14:textId="77777777" w:rsidR="00E67B15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72</w:t>
      </w:r>
      <w:r w:rsidR="00E67B15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prodaje proizvedene dugotrajne imovine</w:t>
      </w:r>
      <w:r w:rsidR="00E67B15">
        <w:rPr>
          <w:rFonts w:eastAsia="Times New Roman"/>
          <w:lang w:eastAsia="hr-HR"/>
        </w:rPr>
        <w:t>: u izvještajnom razdoblju nisu ostvareni.</w:t>
      </w:r>
    </w:p>
    <w:p w14:paraId="239F03D2" w14:textId="6891F2DF" w:rsidR="0003466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721 </w:t>
      </w:r>
      <w:r w:rsidRPr="00E67B15">
        <w:rPr>
          <w:rFonts w:eastAsia="Times New Roman"/>
          <w:b/>
          <w:bCs/>
          <w:i/>
          <w:iCs/>
          <w:lang w:eastAsia="hr-HR"/>
        </w:rPr>
        <w:t>-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građevinskih objekata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4AA7C196" w14:textId="13C60D55" w:rsidR="002B18FF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lang w:eastAsia="hr-HR"/>
        </w:rPr>
      </w:pPr>
      <w:r w:rsidRPr="00D0611E">
        <w:rPr>
          <w:rFonts w:eastAsia="Times New Roman"/>
          <w:lang w:eastAsia="hr-HR"/>
        </w:rPr>
        <w:tab/>
        <w:t>U izvještajnom razdoblju nisu ostvareni.</w:t>
      </w:r>
    </w:p>
    <w:p w14:paraId="29A0B250" w14:textId="798E4D5D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874FEF">
        <w:rPr>
          <w:rFonts w:eastAsia="Times New Roman"/>
          <w:lang w:eastAsia="hr-HR"/>
        </w:rPr>
        <w:t>563.954,38</w:t>
      </w:r>
      <w:r w:rsidRPr="002B18FF">
        <w:rPr>
          <w:rFonts w:eastAsia="Times New Roman"/>
          <w:lang w:eastAsia="hr-HR"/>
        </w:rPr>
        <w:t xml:space="preserve"> eura što u odnosu na tekući plan za 202</w:t>
      </w:r>
      <w:r w:rsidR="00874FEF">
        <w:rPr>
          <w:rFonts w:eastAsia="Times New Roman"/>
          <w:lang w:eastAsia="hr-HR"/>
        </w:rPr>
        <w:t>4</w:t>
      </w:r>
      <w:r w:rsidRPr="002B18FF">
        <w:rPr>
          <w:rFonts w:eastAsia="Times New Roman"/>
          <w:lang w:eastAsia="hr-HR"/>
        </w:rPr>
        <w:t xml:space="preserve">. godinu predstavlja izvršenje od </w:t>
      </w:r>
      <w:r w:rsidR="00874FEF">
        <w:rPr>
          <w:rFonts w:eastAsia="Times New Roman"/>
          <w:lang w:eastAsia="hr-HR"/>
        </w:rPr>
        <w:t>47,20</w:t>
      </w:r>
      <w:r w:rsidRPr="002B18FF">
        <w:rPr>
          <w:rFonts w:eastAsia="Times New Roman"/>
          <w:lang w:eastAsia="hr-HR"/>
        </w:rPr>
        <w:t>%. U odnosu na isto razdoblje 202</w:t>
      </w:r>
      <w:r w:rsidR="00874FEF">
        <w:rPr>
          <w:rFonts w:eastAsia="Times New Roman"/>
          <w:lang w:eastAsia="hr-HR"/>
        </w:rPr>
        <w:t>3</w:t>
      </w:r>
      <w:r w:rsidRPr="002B18FF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bilježe povećanje od </w:t>
      </w:r>
      <w:r w:rsidR="00874FEF">
        <w:rPr>
          <w:rFonts w:eastAsia="Times New Roman"/>
          <w:lang w:eastAsia="hr-HR"/>
        </w:rPr>
        <w:t>4,44</w:t>
      </w:r>
      <w:r w:rsidRPr="002B18FF">
        <w:rPr>
          <w:rFonts w:eastAsia="Times New Roman"/>
          <w:lang w:eastAsia="hr-HR"/>
        </w:rPr>
        <w:t>%.</w:t>
      </w:r>
    </w:p>
    <w:p w14:paraId="6FDD725C" w14:textId="5BCF5899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7B478B">
        <w:rPr>
          <w:rFonts w:eastAsia="Times New Roman"/>
          <w:lang w:eastAsia="hr-HR"/>
        </w:rPr>
        <w:t>115.538,90</w:t>
      </w:r>
      <w:r w:rsidRPr="0071145F">
        <w:rPr>
          <w:rFonts w:eastAsia="Times New Roman"/>
          <w:lang w:eastAsia="hr-HR"/>
        </w:rPr>
        <w:t xml:space="preserve"> eura što u odnosu na tekući plan za 202</w:t>
      </w:r>
      <w:r w:rsidR="007B478B">
        <w:rPr>
          <w:rFonts w:eastAsia="Times New Roman"/>
          <w:lang w:eastAsia="hr-HR"/>
        </w:rPr>
        <w:t>4</w:t>
      </w:r>
      <w:r w:rsidRPr="0071145F">
        <w:rPr>
          <w:rFonts w:eastAsia="Times New Roman"/>
          <w:lang w:eastAsia="hr-HR"/>
        </w:rPr>
        <w:t xml:space="preserve">. godinu predstavlja izvršenje od </w:t>
      </w:r>
      <w:r w:rsidR="007B478B">
        <w:rPr>
          <w:rFonts w:eastAsia="Times New Roman"/>
          <w:lang w:eastAsia="hr-HR"/>
        </w:rPr>
        <w:t>46,46</w:t>
      </w:r>
      <w:r w:rsidRPr="0071145F">
        <w:rPr>
          <w:rFonts w:eastAsia="Times New Roman"/>
          <w:lang w:eastAsia="hr-HR"/>
        </w:rPr>
        <w:t>%. U odnosu na isto razdoblje 202</w:t>
      </w:r>
      <w:r w:rsidR="007B478B">
        <w:rPr>
          <w:rFonts w:eastAsia="Times New Roman"/>
          <w:lang w:eastAsia="hr-HR"/>
        </w:rPr>
        <w:t>3</w:t>
      </w:r>
      <w:r w:rsidRPr="0071145F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bilježe povećanje od </w:t>
      </w:r>
      <w:r w:rsidR="007B478B">
        <w:rPr>
          <w:rFonts w:eastAsia="Times New Roman"/>
          <w:lang w:eastAsia="hr-HR"/>
        </w:rPr>
        <w:t>14,13</w:t>
      </w:r>
      <w:r w:rsidRPr="0071145F">
        <w:rPr>
          <w:rFonts w:eastAsia="Times New Roman"/>
          <w:lang w:eastAsia="hr-HR"/>
        </w:rPr>
        <w:t>%.</w:t>
      </w:r>
    </w:p>
    <w:p w14:paraId="17FD9573" w14:textId="3D68AEF6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</w:p>
    <w:p w14:paraId="1783781C" w14:textId="7D707154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854D30">
        <w:rPr>
          <w:rFonts w:eastAsia="Times New Roman"/>
          <w:lang w:eastAsia="hr-HR"/>
        </w:rPr>
        <w:t>141.305,91</w:t>
      </w:r>
      <w:r w:rsidRPr="00A34712">
        <w:rPr>
          <w:rFonts w:eastAsia="Times New Roman"/>
          <w:lang w:eastAsia="hr-HR"/>
        </w:rPr>
        <w:t xml:space="preserve"> eura što u odnosu na tekući plan za 202</w:t>
      </w:r>
      <w:r w:rsidR="00854D30">
        <w:rPr>
          <w:rFonts w:eastAsia="Times New Roman"/>
          <w:lang w:eastAsia="hr-HR"/>
        </w:rPr>
        <w:t>4</w:t>
      </w:r>
      <w:r w:rsidRPr="00A34712">
        <w:rPr>
          <w:rFonts w:eastAsia="Times New Roman"/>
          <w:lang w:eastAsia="hr-HR"/>
        </w:rPr>
        <w:t xml:space="preserve">. godinu predstavlja izvršenje od </w:t>
      </w:r>
      <w:r w:rsidR="00854D30">
        <w:rPr>
          <w:rFonts w:eastAsia="Times New Roman"/>
          <w:lang w:eastAsia="hr-HR"/>
        </w:rPr>
        <w:t>30,54</w:t>
      </w:r>
      <w:r w:rsidRPr="00A34712">
        <w:rPr>
          <w:rFonts w:eastAsia="Times New Roman"/>
          <w:lang w:eastAsia="hr-HR"/>
        </w:rPr>
        <w:t>%. U odnosu na isto razdoblje 202</w:t>
      </w:r>
      <w:r w:rsidR="00854D30">
        <w:rPr>
          <w:rFonts w:eastAsia="Times New Roman"/>
          <w:lang w:eastAsia="hr-HR"/>
        </w:rPr>
        <w:t>3</w:t>
      </w:r>
      <w:r w:rsidRPr="00A34712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materijalni rashodi</w:t>
      </w:r>
      <w:r w:rsidRPr="00A34712">
        <w:rPr>
          <w:rFonts w:eastAsia="Times New Roman"/>
          <w:lang w:eastAsia="hr-HR"/>
        </w:rPr>
        <w:t xml:space="preserve"> bilježe povećanje od </w:t>
      </w:r>
      <w:r w:rsidR="00854D30">
        <w:rPr>
          <w:rFonts w:eastAsia="Times New Roman"/>
          <w:lang w:eastAsia="hr-HR"/>
        </w:rPr>
        <w:t>5,61</w:t>
      </w:r>
      <w:r w:rsidRPr="00A34712">
        <w:rPr>
          <w:rFonts w:eastAsia="Times New Roman"/>
          <w:lang w:eastAsia="hr-HR"/>
        </w:rPr>
        <w:t>%.</w:t>
      </w:r>
    </w:p>
    <w:p w14:paraId="141951AC" w14:textId="567147FF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 xml:space="preserve">no usavršavanje zaposlenika, ostale naknade zaposlenima, uredski materijal i ostali materijalni rashodi, materijal i sirovine, energija, materijal i dijelovi za tekuće i investicijsko održavanje, sitni inventar i </w:t>
      </w:r>
      <w:proofErr w:type="spellStart"/>
      <w:r w:rsidR="00462334">
        <w:t>autogume</w:t>
      </w:r>
      <w:proofErr w:type="spellEnd"/>
      <w:r w:rsidR="00462334">
        <w:t>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232ADE65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</w:t>
      </w:r>
      <w:r w:rsidR="001519DD">
        <w:t>868,92</w:t>
      </w:r>
      <w:r>
        <w:t xml:space="preserve"> </w:t>
      </w:r>
      <w:r w:rsidRPr="00E07C97">
        <w:t>eura što u odnosu na tekući plan za 202</w:t>
      </w:r>
      <w:r w:rsidR="001519DD">
        <w:t>4</w:t>
      </w:r>
      <w:r w:rsidRPr="00E07C97">
        <w:t xml:space="preserve">. godinu predstavlja izvršenje od </w:t>
      </w:r>
      <w:r w:rsidR="001519DD">
        <w:t>8,78</w:t>
      </w:r>
      <w:r w:rsidRPr="00E07C97">
        <w:t>%. U odnosu na isto razdoblje 202</w:t>
      </w:r>
      <w:r w:rsidR="001519DD">
        <w:t>3</w:t>
      </w:r>
      <w:r w:rsidRPr="00E07C97">
        <w:t xml:space="preserve">. godine ukupni </w:t>
      </w:r>
      <w:r w:rsidR="00FE4CDD">
        <w:t>financijski rashodi</w:t>
      </w:r>
      <w:r w:rsidRPr="00E07C97">
        <w:t xml:space="preserve"> bilježe </w:t>
      </w:r>
      <w:r>
        <w:t xml:space="preserve">smanjenje za </w:t>
      </w:r>
      <w:r w:rsidR="001519DD">
        <w:t>8,25</w:t>
      </w:r>
      <w:r w:rsidRPr="00E07C97">
        <w:t>%.</w:t>
      </w:r>
    </w:p>
    <w:p w14:paraId="21F59ED8" w14:textId="10567C0C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 xml:space="preserve">kamate za primljene kredite </w:t>
      </w:r>
      <w:r w:rsidR="00FE4CDD">
        <w:t xml:space="preserve">i </w:t>
      </w:r>
      <w:r w:rsidRPr="00FE4CDD">
        <w:t>usluge banaka.</w:t>
      </w:r>
    </w:p>
    <w:p w14:paraId="7EC4FB85" w14:textId="7E74F1DF" w:rsidR="00020DA8" w:rsidRPr="00020DA8" w:rsidRDefault="00411483" w:rsidP="001519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 xml:space="preserve">u izvještajnom razdoblju </w:t>
      </w:r>
      <w:r w:rsidR="001519DD">
        <w:t>rashodi nisu ostvareni.</w:t>
      </w:r>
    </w:p>
    <w:p w14:paraId="1AE23423" w14:textId="396AA701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172BD3">
        <w:t>12.046,70</w:t>
      </w:r>
      <w:r w:rsidRPr="004517C6">
        <w:t xml:space="preserve"> eura što u odnosu na tekući plan za 202</w:t>
      </w:r>
      <w:r w:rsidR="00172BD3">
        <w:t>4</w:t>
      </w:r>
      <w:r w:rsidRPr="004517C6">
        <w:t xml:space="preserve">. godinu predstavlja izvršenje od </w:t>
      </w:r>
      <w:r w:rsidR="00172BD3">
        <w:t>46,87</w:t>
      </w:r>
      <w:r w:rsidRPr="004517C6">
        <w:t>%. U odnosu na isto razdoblje 202</w:t>
      </w:r>
      <w:r w:rsidR="00172BD3">
        <w:t>3</w:t>
      </w:r>
      <w:r w:rsidRPr="004517C6">
        <w:t xml:space="preserve">. godine ukupni prihodi poslovanja bilježe </w:t>
      </w:r>
      <w:r w:rsidR="00172BD3">
        <w:t>povećanje</w:t>
      </w:r>
      <w:r w:rsidRPr="004517C6">
        <w:t xml:space="preserve"> za </w:t>
      </w:r>
      <w:r w:rsidR="00172BD3">
        <w:t>2,09</w:t>
      </w:r>
      <w:r w:rsidRPr="004517C6">
        <w:t>%.</w:t>
      </w:r>
    </w:p>
    <w:p w14:paraId="2726C4A3" w14:textId="4D8582D0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t</w:t>
      </w:r>
      <w:r w:rsidRPr="004517C6">
        <w:t>ekuće pomoći proračunskim korisnicima drugih proračuna</w:t>
      </w:r>
      <w:r w:rsidR="00FE4CDD">
        <w:t xml:space="preserve"> (Osnovna škola Žakanje- financiranje programa produženog boravka</w:t>
      </w:r>
      <w:r w:rsidR="005B1415">
        <w:t>, Sufinanciranje rada JVP Karlovac, sufinanciranje rada TZP Kupa</w:t>
      </w:r>
      <w:r w:rsidR="00FE4CDD">
        <w:t>)</w:t>
      </w:r>
      <w:r w:rsidR="004F3FBA">
        <w:t>.</w:t>
      </w:r>
    </w:p>
    <w:p w14:paraId="5DA5214A" w14:textId="044308A5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172BD3">
        <w:t>25.103,36</w:t>
      </w:r>
      <w:r w:rsidRPr="004F3FBA">
        <w:t xml:space="preserve"> eura što u odnosu na tekući plan za 202</w:t>
      </w:r>
      <w:r w:rsidR="00172BD3">
        <w:t>4</w:t>
      </w:r>
      <w:r w:rsidRPr="004F3FBA">
        <w:t xml:space="preserve">. </w:t>
      </w:r>
      <w:r w:rsidRPr="004F3FBA">
        <w:lastRenderedPageBreak/>
        <w:t xml:space="preserve">godinu predstavlja izvršenje od </w:t>
      </w:r>
      <w:r w:rsidR="00172BD3">
        <w:t>37,75</w:t>
      </w:r>
      <w:r w:rsidRPr="004F3FBA">
        <w:t>%. U odnosu na isto razdoblje 202</w:t>
      </w:r>
      <w:r w:rsidR="00172BD3">
        <w:t>3</w:t>
      </w:r>
      <w:r w:rsidRPr="004F3FBA">
        <w:t xml:space="preserve">. godine ukupni </w:t>
      </w:r>
      <w:r w:rsidR="00CD74CA">
        <w:t>rashodi za naknade</w:t>
      </w:r>
      <w:r w:rsidRPr="004F3FBA">
        <w:t xml:space="preserve"> bilježe </w:t>
      </w:r>
      <w:r w:rsidR="00020DA8">
        <w:t>povećanje</w:t>
      </w:r>
      <w:r w:rsidRPr="004F3FBA">
        <w:t xml:space="preserve"> za </w:t>
      </w:r>
      <w:r w:rsidR="00172BD3">
        <w:t>45,50</w:t>
      </w:r>
      <w:r w:rsidRPr="004F3FBA">
        <w:t>%.</w:t>
      </w:r>
    </w:p>
    <w:p w14:paraId="7427788F" w14:textId="060A19EB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>
        <w:t xml:space="preserve"> </w:t>
      </w:r>
      <w:r w:rsidR="00CD74CA">
        <w:t>stipendije, socijalne potpore (naknade za opremanje novorođenčadi, troškovi stanovanja, jednokratne novčane pomoći, nabava drva za ogrjev, prigodni pokloni za blagdane) sufinanciranje prijevoza učenika osnovne i srednjih škola, nabava školskog pribora učenicima OŠ Žakanje, sufinanciranje programa „Škola u prirodi“, sufinanciranje energetske obnove obiteljskih kuća.</w:t>
      </w:r>
    </w:p>
    <w:p w14:paraId="30FCC583" w14:textId="1C84D5F0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>38 – Ostali rashodi: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172BD3">
        <w:t>269.090,59</w:t>
      </w:r>
      <w:r w:rsidRPr="00B83FB7">
        <w:t xml:space="preserve"> eura što u odnosu na tekući plan za 202</w:t>
      </w:r>
      <w:r w:rsidR="00172BD3">
        <w:t>4</w:t>
      </w:r>
      <w:r w:rsidRPr="00B83FB7">
        <w:t xml:space="preserve">. godinu predstavlja izvršenje od </w:t>
      </w:r>
      <w:r w:rsidR="00172BD3">
        <w:t>78,88</w:t>
      </w:r>
      <w:r w:rsidRPr="00B83FB7">
        <w:t>%. U odnosu na isto razdoblje 202</w:t>
      </w:r>
      <w:r w:rsidR="00172BD3">
        <w:t>3</w:t>
      </w:r>
      <w:r w:rsidRPr="00B83FB7">
        <w:t xml:space="preserve">. godine ukupni </w:t>
      </w:r>
      <w:r w:rsidR="00CA4EF8">
        <w:t>ostali rashodi</w:t>
      </w:r>
      <w:r w:rsidRPr="00B83FB7">
        <w:t xml:space="preserve"> bilježe </w:t>
      </w:r>
      <w:r w:rsidR="00020DA8">
        <w:t>povećanje</w:t>
      </w:r>
      <w:r w:rsidRPr="00B83FB7">
        <w:t xml:space="preserve"> za </w:t>
      </w:r>
      <w:r w:rsidR="00172BD3">
        <w:t>1487,22</w:t>
      </w:r>
      <w:r w:rsidRPr="00B83FB7">
        <w:t>%.</w:t>
      </w:r>
    </w:p>
    <w:p w14:paraId="0CF122EF" w14:textId="0CFB5964" w:rsidR="00464A70" w:rsidRDefault="00B83FB7" w:rsidP="0058236A">
      <w:pPr>
        <w:spacing w:after="160"/>
        <w:ind w:left="709"/>
        <w:jc w:val="both"/>
      </w:pPr>
      <w:r>
        <w:t xml:space="preserve">Ostali rashodi obuhvaćaju: </w:t>
      </w:r>
      <w:r w:rsidR="007111D8" w:rsidRPr="007111D8">
        <w:t>financiranje rada političkih stranaka</w:t>
      </w:r>
      <w:r w:rsidR="007111D8">
        <w:t xml:space="preserve"> zastupljenih u Općinskom vijeću Općine Žakanje, tekuće pomoći NK Croatia ’78, sufinanciranje rada VZO Žakanje, DVD-ova, HGSS-a, sufinanciranje rada GDCK Ozalj, sufinanciranje projekata rekonstrukcije objekata društvene namjene, tekuće pomoći organizacijama civilnog društva, sufinanciranje organizacija manifestacija, kapitalne pomoći za uređenje kupališta na rijeci Kupi</w:t>
      </w:r>
      <w:r w:rsidR="00172BD3">
        <w:t>, naknade šteta pravnim i fizičkim osobama.</w:t>
      </w:r>
    </w:p>
    <w:p w14:paraId="3E16F220" w14:textId="5333B85B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172BD3">
        <w:t>230.957,86</w:t>
      </w:r>
      <w:r w:rsidRPr="004878E4">
        <w:t xml:space="preserve"> eura što u odnosu na tekući plan za 202</w:t>
      </w:r>
      <w:r w:rsidR="00172BD3">
        <w:t>4</w:t>
      </w:r>
      <w:r w:rsidRPr="004878E4">
        <w:t xml:space="preserve">. godinu predstavlja izvršenje od </w:t>
      </w:r>
      <w:r w:rsidR="00172BD3">
        <w:t>25,24</w:t>
      </w:r>
      <w:r w:rsidRPr="004878E4">
        <w:t>%. U odnosu na isto razdoblje 202</w:t>
      </w:r>
      <w:r w:rsidR="00172BD3">
        <w:t>3</w:t>
      </w:r>
      <w:r w:rsidRPr="004878E4">
        <w:t xml:space="preserve">. godine ukupni </w:t>
      </w:r>
      <w:r w:rsidR="00CA4EF8">
        <w:t>rashodi za nabavu nefinancijske imovine</w:t>
      </w:r>
      <w:r w:rsidRPr="004878E4">
        <w:t xml:space="preserve"> bilježe </w:t>
      </w:r>
      <w:r>
        <w:t>povećanje</w:t>
      </w:r>
      <w:r w:rsidRPr="004878E4">
        <w:t xml:space="preserve"> za </w:t>
      </w:r>
      <w:r w:rsidR="00172BD3">
        <w:t>91,01</w:t>
      </w:r>
      <w:r w:rsidRPr="004878E4">
        <w:t>%.</w:t>
      </w:r>
    </w:p>
    <w:p w14:paraId="7CBF6DE6" w14:textId="204E4921" w:rsidR="00CA4EF8" w:rsidRPr="00CA4EF8" w:rsidRDefault="00CA4EF8" w:rsidP="00CA4EF8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 xml:space="preserve">Rashodi za nabavu </w:t>
      </w:r>
      <w:proofErr w:type="spellStart"/>
      <w:r w:rsidRPr="00CA4EF8">
        <w:rPr>
          <w:rFonts w:eastAsia="Times New Roman"/>
          <w:b/>
          <w:bCs/>
          <w:lang w:eastAsia="hr-HR"/>
        </w:rPr>
        <w:t>neproizvedene</w:t>
      </w:r>
      <w:proofErr w:type="spellEnd"/>
      <w:r w:rsidRPr="00CA4EF8">
        <w:rPr>
          <w:rFonts w:eastAsia="Times New Roman"/>
          <w:b/>
          <w:bCs/>
          <w:lang w:eastAsia="hr-HR"/>
        </w:rPr>
        <w:t xml:space="preserve">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lang w:eastAsia="hr-HR"/>
        </w:rPr>
        <w:t xml:space="preserve">u izvještajnom razdoblju ostvareni ukupni rashodi </w:t>
      </w:r>
      <w:r>
        <w:rPr>
          <w:rFonts w:eastAsia="Times New Roman"/>
          <w:lang w:eastAsia="hr-HR"/>
        </w:rPr>
        <w:t xml:space="preserve">za nabavu </w:t>
      </w:r>
      <w:proofErr w:type="spellStart"/>
      <w:r>
        <w:rPr>
          <w:rFonts w:eastAsia="Times New Roman"/>
          <w:lang w:eastAsia="hr-HR"/>
        </w:rPr>
        <w:t>neproizvedene</w:t>
      </w:r>
      <w:proofErr w:type="spellEnd"/>
      <w:r>
        <w:rPr>
          <w:rFonts w:eastAsia="Times New Roman"/>
          <w:lang w:eastAsia="hr-HR"/>
        </w:rPr>
        <w:t xml:space="preserve"> imovine </w:t>
      </w:r>
      <w:r w:rsidRPr="00CA4EF8">
        <w:rPr>
          <w:rFonts w:eastAsia="Times New Roman"/>
          <w:lang w:eastAsia="hr-HR"/>
        </w:rPr>
        <w:t xml:space="preserve">iznose </w:t>
      </w:r>
      <w:r w:rsidR="00357A98">
        <w:rPr>
          <w:rFonts w:eastAsia="Times New Roman"/>
          <w:lang w:eastAsia="hr-HR"/>
        </w:rPr>
        <w:t>5.916,33</w:t>
      </w:r>
      <w:r w:rsidRPr="00CA4EF8">
        <w:rPr>
          <w:rFonts w:eastAsia="Times New Roman"/>
          <w:lang w:eastAsia="hr-HR"/>
        </w:rPr>
        <w:t xml:space="preserve"> eura što u odnosu na tekući plan za 202</w:t>
      </w:r>
      <w:r w:rsidR="00357A98">
        <w:rPr>
          <w:rFonts w:eastAsia="Times New Roman"/>
          <w:lang w:eastAsia="hr-HR"/>
        </w:rPr>
        <w:t>4</w:t>
      </w:r>
      <w:r w:rsidRPr="00CA4EF8">
        <w:rPr>
          <w:rFonts w:eastAsia="Times New Roman"/>
          <w:lang w:eastAsia="hr-HR"/>
        </w:rPr>
        <w:t xml:space="preserve">. godinu predstavlja izvršenje od </w:t>
      </w:r>
      <w:r w:rsidR="00357A98">
        <w:rPr>
          <w:rFonts w:eastAsia="Times New Roman"/>
          <w:lang w:eastAsia="hr-HR"/>
        </w:rPr>
        <w:t>55,29</w:t>
      </w:r>
      <w:r w:rsidRPr="00CA4EF8">
        <w:rPr>
          <w:rFonts w:eastAsia="Times New Roman"/>
          <w:lang w:eastAsia="hr-HR"/>
        </w:rPr>
        <w:t>%. U odnosu na isto razdoblje 202</w:t>
      </w:r>
      <w:r w:rsidR="00357A98">
        <w:rPr>
          <w:rFonts w:eastAsia="Times New Roman"/>
          <w:lang w:eastAsia="hr-HR"/>
        </w:rPr>
        <w:t>3</w:t>
      </w:r>
      <w:r w:rsidRPr="00CA4EF8">
        <w:rPr>
          <w:rFonts w:eastAsia="Times New Roman"/>
          <w:lang w:eastAsia="hr-HR"/>
        </w:rPr>
        <w:t xml:space="preserve">. godine ukupni </w:t>
      </w:r>
      <w:r>
        <w:rPr>
          <w:rFonts w:eastAsia="Times New Roman"/>
          <w:lang w:eastAsia="hr-HR"/>
        </w:rPr>
        <w:t xml:space="preserve">rashodi za nabavu </w:t>
      </w:r>
      <w:proofErr w:type="spellStart"/>
      <w:r>
        <w:rPr>
          <w:rFonts w:eastAsia="Times New Roman"/>
          <w:lang w:eastAsia="hr-HR"/>
        </w:rPr>
        <w:t>neproizvedene</w:t>
      </w:r>
      <w:proofErr w:type="spellEnd"/>
      <w:r>
        <w:rPr>
          <w:rFonts w:eastAsia="Times New Roman"/>
          <w:lang w:eastAsia="hr-HR"/>
        </w:rPr>
        <w:t xml:space="preserve"> imovine</w:t>
      </w:r>
      <w:r w:rsidRPr="00CA4EF8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CA4EF8">
        <w:rPr>
          <w:rFonts w:eastAsia="Times New Roman"/>
          <w:lang w:eastAsia="hr-HR"/>
        </w:rPr>
        <w:t xml:space="preserve"> za </w:t>
      </w:r>
      <w:r w:rsidR="00357A98">
        <w:rPr>
          <w:rFonts w:eastAsia="Times New Roman"/>
          <w:lang w:eastAsia="hr-HR"/>
        </w:rPr>
        <w:t>27,36</w:t>
      </w:r>
      <w:r w:rsidRPr="00CA4EF8">
        <w:rPr>
          <w:rFonts w:eastAsia="Times New Roman"/>
          <w:lang w:eastAsia="hr-HR"/>
        </w:rPr>
        <w:t>%.</w:t>
      </w:r>
    </w:p>
    <w:p w14:paraId="56A5AE74" w14:textId="40EEA9A4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2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357A98">
        <w:rPr>
          <w:rFonts w:eastAsia="Times New Roman"/>
          <w:lang w:eastAsia="hr-HR"/>
        </w:rPr>
        <w:t>225.041,53</w:t>
      </w:r>
      <w:r w:rsidR="00F728F7" w:rsidRPr="00F728F7">
        <w:rPr>
          <w:rFonts w:eastAsia="Times New Roman"/>
          <w:lang w:eastAsia="hr-HR"/>
        </w:rPr>
        <w:t xml:space="preserve"> eura što u odnosu na tekući plan za 202</w:t>
      </w:r>
      <w:r w:rsidR="00357A98">
        <w:rPr>
          <w:rFonts w:eastAsia="Times New Roman"/>
          <w:lang w:eastAsia="hr-HR"/>
        </w:rPr>
        <w:t>4</w:t>
      </w:r>
      <w:r w:rsidR="00F728F7" w:rsidRPr="00F728F7">
        <w:rPr>
          <w:rFonts w:eastAsia="Times New Roman"/>
          <w:lang w:eastAsia="hr-HR"/>
        </w:rPr>
        <w:t xml:space="preserve">. godinu predstavlja izvršenje od </w:t>
      </w:r>
      <w:r w:rsidR="00357A98">
        <w:rPr>
          <w:rFonts w:eastAsia="Times New Roman"/>
          <w:lang w:eastAsia="hr-HR"/>
        </w:rPr>
        <w:t>32,40</w:t>
      </w:r>
      <w:r w:rsidR="00F728F7" w:rsidRPr="00F728F7">
        <w:rPr>
          <w:rFonts w:eastAsia="Times New Roman"/>
          <w:lang w:eastAsia="hr-HR"/>
        </w:rPr>
        <w:t>%. U odnosu na isto razdoblje 202</w:t>
      </w:r>
      <w:r w:rsidR="00357A98">
        <w:rPr>
          <w:rFonts w:eastAsia="Times New Roman"/>
          <w:lang w:eastAsia="hr-HR"/>
        </w:rPr>
        <w:t>3</w:t>
      </w:r>
      <w:r w:rsidR="00F728F7" w:rsidRPr="00F728F7">
        <w:rPr>
          <w:rFonts w:eastAsia="Times New Roman"/>
          <w:lang w:eastAsia="hr-HR"/>
        </w:rPr>
        <w:t>. godine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bilježe povećanje za </w:t>
      </w:r>
      <w:r w:rsidR="00357A98">
        <w:rPr>
          <w:rFonts w:eastAsia="Times New Roman"/>
          <w:lang w:eastAsia="hr-HR"/>
        </w:rPr>
        <w:t>93,56</w:t>
      </w:r>
      <w:r w:rsidR="00F728F7" w:rsidRPr="00F728F7">
        <w:rPr>
          <w:rFonts w:eastAsia="Times New Roman"/>
          <w:lang w:eastAsia="hr-HR"/>
        </w:rPr>
        <w:t>%.</w:t>
      </w:r>
      <w:bookmarkEnd w:id="12"/>
    </w:p>
    <w:p w14:paraId="09626029" w14:textId="15353054" w:rsidR="00CA4EF8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45</w:t>
      </w:r>
      <w:r w:rsidR="00347B82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dodatna ulaganja na nefinancijskoj imovini</w:t>
      </w:r>
      <w:r w:rsidR="00347B82">
        <w:rPr>
          <w:rFonts w:eastAsia="Times New Roman"/>
          <w:b/>
          <w:bCs/>
          <w:lang w:eastAsia="hr-HR"/>
        </w:rPr>
        <w:t xml:space="preserve">: </w:t>
      </w:r>
      <w:r w:rsidR="00347B82">
        <w:rPr>
          <w:rFonts w:eastAsia="Times New Roman"/>
          <w:lang w:eastAsia="hr-HR"/>
        </w:rPr>
        <w:t>u izvještajnom razdoblju nisu ostvareni</w:t>
      </w:r>
      <w:r w:rsidR="00FB01E3">
        <w:rPr>
          <w:rFonts w:eastAsia="Times New Roman"/>
          <w:lang w:eastAsia="hr-HR"/>
        </w:rPr>
        <w:t>.</w:t>
      </w:r>
    </w:p>
    <w:p w14:paraId="35C4F003" w14:textId="77777777" w:rsidR="008428E5" w:rsidRDefault="008428E5" w:rsidP="00E21666">
      <w:pPr>
        <w:jc w:val="both"/>
        <w:rPr>
          <w:b/>
          <w:bCs/>
          <w:i/>
          <w:iCs/>
          <w:u w:val="single"/>
        </w:rPr>
      </w:pPr>
    </w:p>
    <w:p w14:paraId="513E2F04" w14:textId="77B0D55F" w:rsidR="00C55332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STANJE NOVČANIH SREDSTAVA</w:t>
      </w:r>
    </w:p>
    <w:p w14:paraId="21448BB6" w14:textId="77777777" w:rsidR="00C55332" w:rsidRDefault="00C55332" w:rsidP="004A1BA5">
      <w:pPr>
        <w:jc w:val="both"/>
      </w:pPr>
    </w:p>
    <w:p w14:paraId="59790993" w14:textId="26B66DEA" w:rsidR="00C55332" w:rsidRDefault="00C55332" w:rsidP="004A1BA5">
      <w:pPr>
        <w:jc w:val="both"/>
      </w:pPr>
      <w:r>
        <w:t xml:space="preserve">Općina Žakanje i proračunski korisnik Dječji vrtić Pčelica Žakanje posluju preko sustava rizničnog poslovanja, </w:t>
      </w:r>
      <w:r w:rsidRPr="00C55332">
        <w:t>koji se temelji na jedinstvenom računovodstveno-informacijskom sustavu i učinkovitom upravljanju ukupnim proračunskim sredstvima, s ciljem obavljanja poslovanja preko Jedinstvenog računa riznice Općine Žakanje</w:t>
      </w:r>
      <w:r>
        <w:t>.</w:t>
      </w:r>
    </w:p>
    <w:p w14:paraId="32DA6E2D" w14:textId="77777777" w:rsidR="00C55332" w:rsidRDefault="00C55332" w:rsidP="004A1BA5">
      <w:pPr>
        <w:jc w:val="both"/>
      </w:pPr>
    </w:p>
    <w:p w14:paraId="708844F9" w14:textId="61714397" w:rsidR="00C55332" w:rsidRDefault="00C55332" w:rsidP="004A1BA5">
      <w:pPr>
        <w:jc w:val="both"/>
      </w:pPr>
      <w:r>
        <w:t>Stanje novčanih sredstava na početku izvještajnog razdoblja:</w:t>
      </w:r>
      <w:r>
        <w:tab/>
      </w:r>
      <w:r w:rsidR="008428E5">
        <w:t>311.914,51 eura</w:t>
      </w:r>
    </w:p>
    <w:p w14:paraId="17FC3A53" w14:textId="4521EF45" w:rsidR="00C55332" w:rsidRDefault="00C55332" w:rsidP="004A1BA5">
      <w:pPr>
        <w:jc w:val="both"/>
      </w:pPr>
      <w:r>
        <w:t>Stanje novčanih sredstava na kraju izvještajnog razdoblja:</w:t>
      </w:r>
      <w:r>
        <w:tab/>
      </w:r>
      <w:r w:rsidR="003352DF">
        <w:t>274.742,00 eura</w:t>
      </w:r>
    </w:p>
    <w:p w14:paraId="7482054B" w14:textId="77777777" w:rsidR="007F7C07" w:rsidRDefault="007F7C07" w:rsidP="004A1BA5">
      <w:pPr>
        <w:jc w:val="both"/>
      </w:pPr>
    </w:p>
    <w:p w14:paraId="3BCA45AB" w14:textId="088A7C88" w:rsidR="007F7C07" w:rsidRDefault="007F7C07" w:rsidP="004A1BA5">
      <w:pPr>
        <w:jc w:val="both"/>
      </w:pPr>
      <w:r>
        <w:t>Stanj</w:t>
      </w:r>
      <w:r w:rsidR="008428E5">
        <w:t>e</w:t>
      </w:r>
      <w:r>
        <w:t xml:space="preserve"> novčanih sredstava na </w:t>
      </w:r>
      <w:r w:rsidR="008428E5">
        <w:t>početku</w:t>
      </w:r>
      <w:r>
        <w:t xml:space="preserve"> izvještajnog razdoblja značajno je povećan zbog uplate sredstava od Karlovačke županije </w:t>
      </w:r>
      <w:r w:rsidRPr="007F7C07">
        <w:t>sukladno Odluci o kriterijima za dodjelu sredstava pomoći za ublažavanje i uklanjanje posljedica prirodne nepogode nastale u srpnju 2023. godine u ukupnom iznosu od 251.631,04 eura.</w:t>
      </w:r>
      <w:r>
        <w:t xml:space="preserve"> Sredstva su doznačena na IBAN račun Općine Žakanje dana 29. prosinca 2023. godine.</w:t>
      </w:r>
    </w:p>
    <w:p w14:paraId="7F002DC2" w14:textId="77777777" w:rsidR="00C55332" w:rsidRDefault="00C55332" w:rsidP="004A1BA5">
      <w:pPr>
        <w:jc w:val="both"/>
      </w:pPr>
    </w:p>
    <w:p w14:paraId="24A2B683" w14:textId="77777777" w:rsidR="00C55332" w:rsidRDefault="00C55332" w:rsidP="004A1BA5">
      <w:pPr>
        <w:jc w:val="both"/>
      </w:pPr>
    </w:p>
    <w:p w14:paraId="6549A35A" w14:textId="287221DE" w:rsidR="004A1BA5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PRIHODI I PRIMICI TE RASHODI I IZDACI OSTVARENI PREUZIMANJEM NEFINANCIJSKE I FINANCIJSKE IMOVINE U NAPLATI POTRAŽIVANJA JAVNIH DAVANJA</w:t>
      </w:r>
    </w:p>
    <w:p w14:paraId="619DE466" w14:textId="77777777" w:rsidR="004A1BA5" w:rsidRDefault="004A1BA5" w:rsidP="006B3AE0">
      <w:pPr>
        <w:jc w:val="both"/>
      </w:pPr>
    </w:p>
    <w:p w14:paraId="09BC91B5" w14:textId="32D7FC3C" w:rsidR="00065C7D" w:rsidRDefault="00C55332" w:rsidP="006B3AE0">
      <w:pPr>
        <w:jc w:val="both"/>
      </w:pPr>
      <w:r>
        <w:t>U izvještajnom razdoblju nije bilo preuzimanja nefinancijske i financijske imovine u naplati potraživanja javnih davanja.</w:t>
      </w:r>
    </w:p>
    <w:p w14:paraId="6E531995" w14:textId="1D996563" w:rsidR="00065C7D" w:rsidRPr="00E35BE5" w:rsidRDefault="00E35BE5" w:rsidP="00E35BE5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lastRenderedPageBreak/>
        <w:t>Prikaz ostvarenog viška proračuna u izvještajnom razdoblju</w:t>
      </w:r>
    </w:p>
    <w:p w14:paraId="556CDBBA" w14:textId="77777777" w:rsidR="00E35BE5" w:rsidRDefault="00E35BE5" w:rsidP="00E35BE5">
      <w:pPr>
        <w:jc w:val="both"/>
      </w:pPr>
    </w:p>
    <w:p w14:paraId="0AF563DF" w14:textId="77777777" w:rsidR="00B40508" w:rsidRDefault="00B40508" w:rsidP="00B40508">
      <w:pPr>
        <w:jc w:val="both"/>
      </w:pPr>
      <w:r>
        <w:t>Iz sažetka Računa prihoda i rashoda vidljivo je da su u izvještajnom razdoblju ostvareni ukupni prihodi od 632.516,36 eura što u odnosu na tekući plan za 2024. godinu predstavlja izvršenje od 34,15 %. U odnosu na isto razdoblje 2023. godine ukupni prihodi bilježe povećanje od 33,63%.</w:t>
      </w:r>
    </w:p>
    <w:p w14:paraId="03050CCD" w14:textId="77777777" w:rsidR="00B40508" w:rsidRDefault="00B40508" w:rsidP="00B40508">
      <w:pPr>
        <w:jc w:val="both"/>
      </w:pPr>
    </w:p>
    <w:p w14:paraId="73C8BD15" w14:textId="77777777" w:rsidR="00B40508" w:rsidRDefault="00B40508" w:rsidP="00B40508">
      <w:pPr>
        <w:jc w:val="both"/>
      </w:pPr>
      <w:r>
        <w:t>U izvještajnom razdoblju ukupni rashodi ostvareni su u iznosu od 794.912,24 eura što u odnosu na tekući plan za 2024. godinu predstavlja izvršenje od 37,67%. U odnosu na isto razdoblje 2023. godine ukupni rashodi bilježe povećanje od 100,35%.</w:t>
      </w:r>
    </w:p>
    <w:p w14:paraId="770AB9B3" w14:textId="77777777" w:rsidR="00B40508" w:rsidRDefault="00B40508" w:rsidP="00B40508">
      <w:pPr>
        <w:jc w:val="both"/>
      </w:pPr>
    </w:p>
    <w:p w14:paraId="71830E85" w14:textId="77777777" w:rsidR="00B40508" w:rsidRDefault="00B40508" w:rsidP="00B40508">
      <w:pPr>
        <w:jc w:val="both"/>
      </w:pPr>
      <w:r>
        <w:t>Iz navedenog proizlazi razlika između ostvarenih ukupnih prihoda i rashoda, odnosno manjak prihoda Proračuna Općine Žakanje ostvaren u razdoblju I. – VI. 2024. godine u iznosu od 162.395,88 eura.</w:t>
      </w:r>
    </w:p>
    <w:p w14:paraId="4BD10651" w14:textId="77777777" w:rsidR="00B40508" w:rsidRDefault="00B40508" w:rsidP="00B40508">
      <w:pPr>
        <w:jc w:val="both"/>
      </w:pPr>
    </w:p>
    <w:p w14:paraId="2CEC30F6" w14:textId="77777777" w:rsidR="00B40508" w:rsidRDefault="00B40508" w:rsidP="00B40508">
      <w:pPr>
        <w:jc w:val="both"/>
      </w:pPr>
      <w:r>
        <w:t>Za otplatu zajma realiziran je izdatak u iznosu od 14.064,30 eura.</w:t>
      </w:r>
    </w:p>
    <w:p w14:paraId="7C1F178B" w14:textId="77777777" w:rsidR="00B40508" w:rsidRDefault="00B40508" w:rsidP="00B40508">
      <w:pPr>
        <w:jc w:val="both"/>
      </w:pPr>
    </w:p>
    <w:p w14:paraId="67A8947D" w14:textId="4FD728F4" w:rsidR="00E35BE5" w:rsidRDefault="00B40508" w:rsidP="00B40508">
      <w:pPr>
        <w:jc w:val="both"/>
      </w:pPr>
      <w:r>
        <w:t>Preneseni višak iz prethodne 2023. godine iznosi 286.648,89 eura te je ukupni rezultat poslovanja na kraju izvještajnog razdoblja višak u iznosu od 110.188,71 eura.</w:t>
      </w:r>
    </w:p>
    <w:p w14:paraId="16C76D65" w14:textId="77777777" w:rsidR="001374FA" w:rsidRDefault="001374FA" w:rsidP="00F879CB">
      <w:pPr>
        <w:jc w:val="both"/>
      </w:pPr>
    </w:p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1FA37" w14:textId="77777777" w:rsidR="00464306" w:rsidRDefault="00464306" w:rsidP="00EA7E99">
      <w:r>
        <w:separator/>
      </w:r>
    </w:p>
  </w:endnote>
  <w:endnote w:type="continuationSeparator" w:id="0">
    <w:p w14:paraId="088A06E0" w14:textId="77777777" w:rsidR="00464306" w:rsidRDefault="00464306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EDAAA" w14:textId="77777777" w:rsidR="00464306" w:rsidRDefault="00464306" w:rsidP="00EA7E99">
      <w:r>
        <w:separator/>
      </w:r>
    </w:p>
  </w:footnote>
  <w:footnote w:type="continuationSeparator" w:id="0">
    <w:p w14:paraId="463B486C" w14:textId="77777777" w:rsidR="00464306" w:rsidRDefault="00464306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C0E04"/>
    <w:multiLevelType w:val="multilevel"/>
    <w:tmpl w:val="B8BEE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7977797"/>
    <w:multiLevelType w:val="multilevel"/>
    <w:tmpl w:val="7BF28D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490BE8"/>
    <w:multiLevelType w:val="multilevel"/>
    <w:tmpl w:val="E5CA1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3C025560"/>
    <w:multiLevelType w:val="hybridMultilevel"/>
    <w:tmpl w:val="25269C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49B30C8B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0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44"/>
  </w:num>
  <w:num w:numId="2" w16cid:durableId="2006007954">
    <w:abstractNumId w:val="15"/>
  </w:num>
  <w:num w:numId="3" w16cid:durableId="2014213074">
    <w:abstractNumId w:val="11"/>
  </w:num>
  <w:num w:numId="4" w16cid:durableId="1098481496">
    <w:abstractNumId w:val="51"/>
  </w:num>
  <w:num w:numId="5" w16cid:durableId="439761038">
    <w:abstractNumId w:val="20"/>
  </w:num>
  <w:num w:numId="6" w16cid:durableId="655837911">
    <w:abstractNumId w:val="34"/>
  </w:num>
  <w:num w:numId="7" w16cid:durableId="1472987874">
    <w:abstractNumId w:val="39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24"/>
  </w:num>
  <w:num w:numId="19" w16cid:durableId="322782678">
    <w:abstractNumId w:val="28"/>
  </w:num>
  <w:num w:numId="20" w16cid:durableId="1834296643">
    <w:abstractNumId w:val="49"/>
  </w:num>
  <w:num w:numId="21" w16cid:durableId="1751347983">
    <w:abstractNumId w:val="37"/>
  </w:num>
  <w:num w:numId="22" w16cid:durableId="2060282841">
    <w:abstractNumId w:val="12"/>
  </w:num>
  <w:num w:numId="23" w16cid:durableId="2138713717">
    <w:abstractNumId w:val="55"/>
  </w:num>
  <w:num w:numId="24" w16cid:durableId="1613127457">
    <w:abstractNumId w:val="21"/>
  </w:num>
  <w:num w:numId="25" w16cid:durableId="346830594">
    <w:abstractNumId w:val="10"/>
  </w:num>
  <w:num w:numId="26" w16cid:durableId="1515998749">
    <w:abstractNumId w:val="53"/>
  </w:num>
  <w:num w:numId="27" w16cid:durableId="417755766">
    <w:abstractNumId w:val="32"/>
  </w:num>
  <w:num w:numId="28" w16cid:durableId="741685984">
    <w:abstractNumId w:val="29"/>
  </w:num>
  <w:num w:numId="29" w16cid:durableId="486284976">
    <w:abstractNumId w:val="25"/>
  </w:num>
  <w:num w:numId="30" w16cid:durableId="740101337">
    <w:abstractNumId w:val="42"/>
  </w:num>
  <w:num w:numId="31" w16cid:durableId="797988337">
    <w:abstractNumId w:val="17"/>
  </w:num>
  <w:num w:numId="32" w16cid:durableId="1847862798">
    <w:abstractNumId w:val="54"/>
  </w:num>
  <w:num w:numId="33" w16cid:durableId="526915018">
    <w:abstractNumId w:val="41"/>
  </w:num>
  <w:num w:numId="34" w16cid:durableId="653098247">
    <w:abstractNumId w:val="48"/>
  </w:num>
  <w:num w:numId="35" w16cid:durableId="1488746337">
    <w:abstractNumId w:val="16"/>
  </w:num>
  <w:num w:numId="36" w16cid:durableId="1018316501">
    <w:abstractNumId w:val="47"/>
  </w:num>
  <w:num w:numId="37" w16cid:durableId="43062809">
    <w:abstractNumId w:val="43"/>
  </w:num>
  <w:num w:numId="38" w16cid:durableId="1012073256">
    <w:abstractNumId w:val="36"/>
  </w:num>
  <w:num w:numId="39" w16cid:durableId="1651401869">
    <w:abstractNumId w:val="31"/>
  </w:num>
  <w:num w:numId="40" w16cid:durableId="1471360464">
    <w:abstractNumId w:val="27"/>
  </w:num>
  <w:num w:numId="41" w16cid:durableId="750350904">
    <w:abstractNumId w:val="19"/>
  </w:num>
  <w:num w:numId="42" w16cid:durableId="1749306480">
    <w:abstractNumId w:val="26"/>
  </w:num>
  <w:num w:numId="43" w16cid:durableId="1724668940">
    <w:abstractNumId w:val="50"/>
  </w:num>
  <w:num w:numId="44" w16cid:durableId="96951399">
    <w:abstractNumId w:val="38"/>
  </w:num>
  <w:num w:numId="45" w16cid:durableId="1252350013">
    <w:abstractNumId w:val="46"/>
  </w:num>
  <w:num w:numId="46" w16cid:durableId="691762190">
    <w:abstractNumId w:val="33"/>
  </w:num>
  <w:num w:numId="47" w16cid:durableId="1138448601">
    <w:abstractNumId w:val="35"/>
  </w:num>
  <w:num w:numId="48" w16cid:durableId="888685036">
    <w:abstractNumId w:val="40"/>
  </w:num>
  <w:num w:numId="49" w16cid:durableId="2124421263">
    <w:abstractNumId w:val="22"/>
  </w:num>
  <w:num w:numId="50" w16cid:durableId="1768963481">
    <w:abstractNumId w:val="13"/>
  </w:num>
  <w:num w:numId="51" w16cid:durableId="29962680">
    <w:abstractNumId w:val="52"/>
  </w:num>
  <w:num w:numId="52" w16cid:durableId="479078790">
    <w:abstractNumId w:val="14"/>
  </w:num>
  <w:num w:numId="53" w16cid:durableId="904024447">
    <w:abstractNumId w:val="23"/>
  </w:num>
  <w:num w:numId="54" w16cid:durableId="1965230672">
    <w:abstractNumId w:val="45"/>
  </w:num>
  <w:num w:numId="55" w16cid:durableId="576209235">
    <w:abstractNumId w:val="18"/>
  </w:num>
  <w:num w:numId="56" w16cid:durableId="780420379">
    <w:abstractNumId w:val="30"/>
  </w:num>
  <w:num w:numId="57" w16cid:durableId="10160828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6BCB"/>
    <w:rsid w:val="0003174F"/>
    <w:rsid w:val="0003466C"/>
    <w:rsid w:val="0004093D"/>
    <w:rsid w:val="00047E35"/>
    <w:rsid w:val="00051922"/>
    <w:rsid w:val="00065C7D"/>
    <w:rsid w:val="00080DFD"/>
    <w:rsid w:val="00095B18"/>
    <w:rsid w:val="000A548A"/>
    <w:rsid w:val="000A7A54"/>
    <w:rsid w:val="000E5761"/>
    <w:rsid w:val="000F2918"/>
    <w:rsid w:val="001152FB"/>
    <w:rsid w:val="00120167"/>
    <w:rsid w:val="00122C5F"/>
    <w:rsid w:val="001374FA"/>
    <w:rsid w:val="001519DD"/>
    <w:rsid w:val="001616E4"/>
    <w:rsid w:val="0016302F"/>
    <w:rsid w:val="00172BD3"/>
    <w:rsid w:val="001750F1"/>
    <w:rsid w:val="00187323"/>
    <w:rsid w:val="00190CA7"/>
    <w:rsid w:val="001A105E"/>
    <w:rsid w:val="001A3003"/>
    <w:rsid w:val="001A5015"/>
    <w:rsid w:val="001A745E"/>
    <w:rsid w:val="001A7724"/>
    <w:rsid w:val="001C0816"/>
    <w:rsid w:val="001C48B1"/>
    <w:rsid w:val="001E75D8"/>
    <w:rsid w:val="001F3AF3"/>
    <w:rsid w:val="001F5227"/>
    <w:rsid w:val="002056C2"/>
    <w:rsid w:val="002071AF"/>
    <w:rsid w:val="00230B48"/>
    <w:rsid w:val="00234B5E"/>
    <w:rsid w:val="00236399"/>
    <w:rsid w:val="00242B49"/>
    <w:rsid w:val="00270080"/>
    <w:rsid w:val="00282037"/>
    <w:rsid w:val="0029141D"/>
    <w:rsid w:val="002A17E3"/>
    <w:rsid w:val="002A42DD"/>
    <w:rsid w:val="002B18FF"/>
    <w:rsid w:val="002C2AFE"/>
    <w:rsid w:val="002C7FEC"/>
    <w:rsid w:val="002D46D3"/>
    <w:rsid w:val="002D566C"/>
    <w:rsid w:val="002F3B00"/>
    <w:rsid w:val="002F686C"/>
    <w:rsid w:val="00305D44"/>
    <w:rsid w:val="003240D9"/>
    <w:rsid w:val="00327F07"/>
    <w:rsid w:val="0033197A"/>
    <w:rsid w:val="003352DF"/>
    <w:rsid w:val="0034134E"/>
    <w:rsid w:val="00347B82"/>
    <w:rsid w:val="0035356F"/>
    <w:rsid w:val="00355E23"/>
    <w:rsid w:val="00357A13"/>
    <w:rsid w:val="00357A98"/>
    <w:rsid w:val="0036233C"/>
    <w:rsid w:val="00377770"/>
    <w:rsid w:val="00380FE8"/>
    <w:rsid w:val="003859B2"/>
    <w:rsid w:val="00395DA8"/>
    <w:rsid w:val="003B4D09"/>
    <w:rsid w:val="003C73D9"/>
    <w:rsid w:val="003D1BD1"/>
    <w:rsid w:val="003E115F"/>
    <w:rsid w:val="003E3CD3"/>
    <w:rsid w:val="003E6980"/>
    <w:rsid w:val="003F2095"/>
    <w:rsid w:val="003F6908"/>
    <w:rsid w:val="00402E3B"/>
    <w:rsid w:val="00407B31"/>
    <w:rsid w:val="00411483"/>
    <w:rsid w:val="00412DA6"/>
    <w:rsid w:val="004173DF"/>
    <w:rsid w:val="004202D8"/>
    <w:rsid w:val="00425C05"/>
    <w:rsid w:val="00432068"/>
    <w:rsid w:val="004338B0"/>
    <w:rsid w:val="004376C2"/>
    <w:rsid w:val="0044523B"/>
    <w:rsid w:val="00445DBD"/>
    <w:rsid w:val="004517C6"/>
    <w:rsid w:val="00462334"/>
    <w:rsid w:val="00464306"/>
    <w:rsid w:val="00464A70"/>
    <w:rsid w:val="00465629"/>
    <w:rsid w:val="00472254"/>
    <w:rsid w:val="0047348B"/>
    <w:rsid w:val="0047594E"/>
    <w:rsid w:val="00484FBA"/>
    <w:rsid w:val="004878E4"/>
    <w:rsid w:val="0049339F"/>
    <w:rsid w:val="004A0800"/>
    <w:rsid w:val="004A1BA5"/>
    <w:rsid w:val="004B4BB0"/>
    <w:rsid w:val="004C4EAB"/>
    <w:rsid w:val="004C75C0"/>
    <w:rsid w:val="004D5DC8"/>
    <w:rsid w:val="004E108E"/>
    <w:rsid w:val="004F3FBA"/>
    <w:rsid w:val="00500BB8"/>
    <w:rsid w:val="00521AFB"/>
    <w:rsid w:val="005327BD"/>
    <w:rsid w:val="005359F1"/>
    <w:rsid w:val="00540A2E"/>
    <w:rsid w:val="005433F7"/>
    <w:rsid w:val="00550AA1"/>
    <w:rsid w:val="00552A28"/>
    <w:rsid w:val="00557EDD"/>
    <w:rsid w:val="0056014C"/>
    <w:rsid w:val="00561800"/>
    <w:rsid w:val="005752F6"/>
    <w:rsid w:val="00575DBD"/>
    <w:rsid w:val="0058236A"/>
    <w:rsid w:val="005975AB"/>
    <w:rsid w:val="005A0A94"/>
    <w:rsid w:val="005B1415"/>
    <w:rsid w:val="005C1FE0"/>
    <w:rsid w:val="005C2F2F"/>
    <w:rsid w:val="005C74A7"/>
    <w:rsid w:val="005D280D"/>
    <w:rsid w:val="005D3708"/>
    <w:rsid w:val="005D3B67"/>
    <w:rsid w:val="005D73F3"/>
    <w:rsid w:val="005E2D27"/>
    <w:rsid w:val="005E52D5"/>
    <w:rsid w:val="005F3A7A"/>
    <w:rsid w:val="00620036"/>
    <w:rsid w:val="00645252"/>
    <w:rsid w:val="00653F2A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3D74"/>
    <w:rsid w:val="006D4FEC"/>
    <w:rsid w:val="006F3C63"/>
    <w:rsid w:val="007018F6"/>
    <w:rsid w:val="007021FC"/>
    <w:rsid w:val="0071106A"/>
    <w:rsid w:val="007111D8"/>
    <w:rsid w:val="0071145F"/>
    <w:rsid w:val="00711564"/>
    <w:rsid w:val="00722D09"/>
    <w:rsid w:val="0074125E"/>
    <w:rsid w:val="007632C9"/>
    <w:rsid w:val="007669D6"/>
    <w:rsid w:val="007A4751"/>
    <w:rsid w:val="007B28C4"/>
    <w:rsid w:val="007B478B"/>
    <w:rsid w:val="007B49EE"/>
    <w:rsid w:val="007B58B6"/>
    <w:rsid w:val="007D3139"/>
    <w:rsid w:val="007E1EF3"/>
    <w:rsid w:val="007F4057"/>
    <w:rsid w:val="007F7C07"/>
    <w:rsid w:val="00803E8B"/>
    <w:rsid w:val="008061C0"/>
    <w:rsid w:val="008103D9"/>
    <w:rsid w:val="008309D2"/>
    <w:rsid w:val="0083311D"/>
    <w:rsid w:val="008344DB"/>
    <w:rsid w:val="0083569A"/>
    <w:rsid w:val="0084069F"/>
    <w:rsid w:val="008428E5"/>
    <w:rsid w:val="00843851"/>
    <w:rsid w:val="0084720B"/>
    <w:rsid w:val="00852EFB"/>
    <w:rsid w:val="00854D30"/>
    <w:rsid w:val="00856C1D"/>
    <w:rsid w:val="00874FEF"/>
    <w:rsid w:val="00875D98"/>
    <w:rsid w:val="00882D6A"/>
    <w:rsid w:val="0088305B"/>
    <w:rsid w:val="00885559"/>
    <w:rsid w:val="0088690C"/>
    <w:rsid w:val="008C12F3"/>
    <w:rsid w:val="008C78BC"/>
    <w:rsid w:val="008E0A0E"/>
    <w:rsid w:val="008F1332"/>
    <w:rsid w:val="00901829"/>
    <w:rsid w:val="0090231A"/>
    <w:rsid w:val="00907B67"/>
    <w:rsid w:val="00911E6D"/>
    <w:rsid w:val="0094556C"/>
    <w:rsid w:val="00951770"/>
    <w:rsid w:val="00964FD0"/>
    <w:rsid w:val="009902A7"/>
    <w:rsid w:val="00990556"/>
    <w:rsid w:val="0099118D"/>
    <w:rsid w:val="009924DE"/>
    <w:rsid w:val="00997945"/>
    <w:rsid w:val="009A3165"/>
    <w:rsid w:val="009B128D"/>
    <w:rsid w:val="009D4263"/>
    <w:rsid w:val="009F2739"/>
    <w:rsid w:val="00A0173B"/>
    <w:rsid w:val="00A049AD"/>
    <w:rsid w:val="00A10B01"/>
    <w:rsid w:val="00A1765A"/>
    <w:rsid w:val="00A34712"/>
    <w:rsid w:val="00A34A9E"/>
    <w:rsid w:val="00A73039"/>
    <w:rsid w:val="00A86BFF"/>
    <w:rsid w:val="00A9204E"/>
    <w:rsid w:val="00A923A1"/>
    <w:rsid w:val="00AA2195"/>
    <w:rsid w:val="00AB0137"/>
    <w:rsid w:val="00AB3808"/>
    <w:rsid w:val="00AB51D1"/>
    <w:rsid w:val="00AD6408"/>
    <w:rsid w:val="00AE0D67"/>
    <w:rsid w:val="00AE2B03"/>
    <w:rsid w:val="00AE33AF"/>
    <w:rsid w:val="00B13A61"/>
    <w:rsid w:val="00B15903"/>
    <w:rsid w:val="00B26A09"/>
    <w:rsid w:val="00B32590"/>
    <w:rsid w:val="00B3352E"/>
    <w:rsid w:val="00B36913"/>
    <w:rsid w:val="00B40508"/>
    <w:rsid w:val="00B47589"/>
    <w:rsid w:val="00B530A1"/>
    <w:rsid w:val="00B62FC5"/>
    <w:rsid w:val="00B70A74"/>
    <w:rsid w:val="00B72F10"/>
    <w:rsid w:val="00B73659"/>
    <w:rsid w:val="00B83FB7"/>
    <w:rsid w:val="00BA15A1"/>
    <w:rsid w:val="00BB00D0"/>
    <w:rsid w:val="00BC3AE0"/>
    <w:rsid w:val="00BD6BCC"/>
    <w:rsid w:val="00BF369C"/>
    <w:rsid w:val="00BF7FBB"/>
    <w:rsid w:val="00C0051A"/>
    <w:rsid w:val="00C47C5D"/>
    <w:rsid w:val="00C55332"/>
    <w:rsid w:val="00C638A4"/>
    <w:rsid w:val="00C64D4E"/>
    <w:rsid w:val="00CA308B"/>
    <w:rsid w:val="00CA4EF8"/>
    <w:rsid w:val="00CB0C2B"/>
    <w:rsid w:val="00CB16EF"/>
    <w:rsid w:val="00CB254B"/>
    <w:rsid w:val="00CD4402"/>
    <w:rsid w:val="00CD74CA"/>
    <w:rsid w:val="00CE5C99"/>
    <w:rsid w:val="00CE6951"/>
    <w:rsid w:val="00D0611E"/>
    <w:rsid w:val="00D2143D"/>
    <w:rsid w:val="00D2145A"/>
    <w:rsid w:val="00D22561"/>
    <w:rsid w:val="00D23FC9"/>
    <w:rsid w:val="00D26923"/>
    <w:rsid w:val="00D46848"/>
    <w:rsid w:val="00D5587E"/>
    <w:rsid w:val="00D60F49"/>
    <w:rsid w:val="00D86996"/>
    <w:rsid w:val="00D879D1"/>
    <w:rsid w:val="00DC03BD"/>
    <w:rsid w:val="00DC7F7F"/>
    <w:rsid w:val="00DD29E1"/>
    <w:rsid w:val="00DE10DE"/>
    <w:rsid w:val="00DE38F7"/>
    <w:rsid w:val="00DE3EB6"/>
    <w:rsid w:val="00DE5215"/>
    <w:rsid w:val="00DF5556"/>
    <w:rsid w:val="00E023F8"/>
    <w:rsid w:val="00E07C97"/>
    <w:rsid w:val="00E21666"/>
    <w:rsid w:val="00E32550"/>
    <w:rsid w:val="00E35BE5"/>
    <w:rsid w:val="00E37FB3"/>
    <w:rsid w:val="00E44FC2"/>
    <w:rsid w:val="00E61D50"/>
    <w:rsid w:val="00E67B15"/>
    <w:rsid w:val="00E80B8A"/>
    <w:rsid w:val="00E815F0"/>
    <w:rsid w:val="00EA7E99"/>
    <w:rsid w:val="00EC544B"/>
    <w:rsid w:val="00EC713A"/>
    <w:rsid w:val="00EC7FA1"/>
    <w:rsid w:val="00ED1532"/>
    <w:rsid w:val="00EE3E73"/>
    <w:rsid w:val="00EF06BA"/>
    <w:rsid w:val="00EF0CB8"/>
    <w:rsid w:val="00EF1439"/>
    <w:rsid w:val="00EF49A3"/>
    <w:rsid w:val="00F05009"/>
    <w:rsid w:val="00F2021E"/>
    <w:rsid w:val="00F202FE"/>
    <w:rsid w:val="00F209B8"/>
    <w:rsid w:val="00F3122E"/>
    <w:rsid w:val="00F3667D"/>
    <w:rsid w:val="00F44B2E"/>
    <w:rsid w:val="00F728F7"/>
    <w:rsid w:val="00F85D3C"/>
    <w:rsid w:val="00F879CB"/>
    <w:rsid w:val="00F9319E"/>
    <w:rsid w:val="00F96299"/>
    <w:rsid w:val="00F96614"/>
    <w:rsid w:val="00F96E10"/>
    <w:rsid w:val="00FA17C3"/>
    <w:rsid w:val="00FB01E3"/>
    <w:rsid w:val="00FC57ED"/>
    <w:rsid w:val="00FE4CD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0EA59D2C-362E-44F8-8E3F-B9AD707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68</TotalTime>
  <Pages>8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Žakanje</dc:creator>
  <cp:lastModifiedBy>Općina Žakanje</cp:lastModifiedBy>
  <cp:revision>24</cp:revision>
  <dcterms:created xsi:type="dcterms:W3CDTF">2024-10-11T11:36:00Z</dcterms:created>
  <dcterms:modified xsi:type="dcterms:W3CDTF">2024-10-11T12:41:00Z</dcterms:modified>
</cp:coreProperties>
</file>