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265"/>
        <w:gridCol w:w="6023"/>
      </w:tblGrid>
      <w:tr w:rsidR="00814469" w:rsidRPr="0035018D" w:rsidTr="003B4186">
        <w:trPr>
          <w:trHeight w:val="283"/>
        </w:trPr>
        <w:tc>
          <w:tcPr>
            <w:tcW w:w="3402" w:type="dxa"/>
            <w:shd w:val="clear" w:color="auto" w:fill="auto"/>
            <w:vAlign w:val="center"/>
          </w:tcPr>
          <w:p w:rsidR="00814469" w:rsidRPr="0035018D" w:rsidRDefault="00814469" w:rsidP="003B4186">
            <w:pPr>
              <w:spacing w:line="276" w:lineRule="auto"/>
              <w:jc w:val="center"/>
              <w:rPr>
                <w:rFonts w:asciiTheme="minorHAnsi" w:hAnsiTheme="minorHAnsi"/>
                <w:b/>
              </w:rPr>
            </w:pPr>
            <w:r w:rsidRPr="0035018D">
              <w:rPr>
                <w:rFonts w:asciiTheme="minorHAnsi" w:hAnsiTheme="minorHAnsi"/>
                <w:b/>
                <w:noProof/>
                <w:sz w:val="22"/>
                <w:szCs w:val="22"/>
                <w:lang w:eastAsia="hr-HR"/>
              </w:rPr>
              <w:drawing>
                <wp:inline distT="0" distB="0" distL="0" distR="0">
                  <wp:extent cx="285750" cy="361950"/>
                  <wp:effectExtent l="0" t="0" r="0" b="0"/>
                  <wp:docPr id="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6345" w:type="dxa"/>
            <w:vMerge w:val="restart"/>
          </w:tcPr>
          <w:p w:rsidR="00814469" w:rsidRDefault="00814469" w:rsidP="003B4186">
            <w:pPr>
              <w:spacing w:line="276" w:lineRule="auto"/>
              <w:jc w:val="center"/>
              <w:rPr>
                <w:rFonts w:asciiTheme="minorHAnsi" w:hAnsiTheme="minorHAnsi"/>
                <w:b/>
              </w:rPr>
            </w:pPr>
            <w:r>
              <w:rPr>
                <w:rFonts w:asciiTheme="minorHAnsi" w:hAnsiTheme="minorHAnsi"/>
                <w:b/>
                <w:sz w:val="22"/>
                <w:szCs w:val="22"/>
              </w:rPr>
              <w:t xml:space="preserve">                                                                                      </w:t>
            </w:r>
            <w:r w:rsidRPr="00457318">
              <w:rPr>
                <w:rFonts w:asciiTheme="minorHAnsi" w:hAnsiTheme="minorHAnsi"/>
                <w:b/>
                <w:noProof/>
                <w:sz w:val="22"/>
                <w:szCs w:val="22"/>
                <w:lang w:eastAsia="hr-HR"/>
              </w:rPr>
              <w:drawing>
                <wp:inline distT="0" distB="0" distL="0" distR="0">
                  <wp:extent cx="648859" cy="1005850"/>
                  <wp:effectExtent l="19050" t="0" r="0" b="0"/>
                  <wp:docPr id="11" name="Picture 1" descr="Logo_Pc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celica"/>
                          <pic:cNvPicPr>
                            <a:picLocks noChangeAspect="1" noChangeArrowheads="1"/>
                          </pic:cNvPicPr>
                        </pic:nvPicPr>
                        <pic:blipFill>
                          <a:blip r:embed="rId5" cstate="print"/>
                          <a:srcRect/>
                          <a:stretch>
                            <a:fillRect/>
                          </a:stretch>
                        </pic:blipFill>
                        <pic:spPr bwMode="auto">
                          <a:xfrm>
                            <a:off x="0" y="0"/>
                            <a:ext cx="648805" cy="1005767"/>
                          </a:xfrm>
                          <a:prstGeom prst="rect">
                            <a:avLst/>
                          </a:prstGeom>
                          <a:noFill/>
                          <a:ln w="9525">
                            <a:noFill/>
                            <a:miter lim="800000"/>
                            <a:headEnd/>
                            <a:tailEnd/>
                          </a:ln>
                        </pic:spPr>
                      </pic:pic>
                    </a:graphicData>
                  </a:graphic>
                </wp:inline>
              </w:drawing>
            </w:r>
          </w:p>
          <w:p w:rsidR="00814469" w:rsidRPr="00457318" w:rsidRDefault="00814469" w:rsidP="003B4186">
            <w:pPr>
              <w:rPr>
                <w:rFonts w:asciiTheme="minorHAnsi" w:hAnsiTheme="minorHAnsi"/>
              </w:rPr>
            </w:pPr>
          </w:p>
          <w:p w:rsidR="00814469" w:rsidRDefault="00814469" w:rsidP="003B4186">
            <w:pPr>
              <w:rPr>
                <w:rFonts w:asciiTheme="minorHAnsi" w:hAnsiTheme="minorHAnsi"/>
              </w:rPr>
            </w:pPr>
          </w:p>
          <w:p w:rsidR="00814469" w:rsidRPr="00457318" w:rsidRDefault="00814469" w:rsidP="003B4186">
            <w:pPr>
              <w:jc w:val="right"/>
              <w:rPr>
                <w:rFonts w:asciiTheme="minorHAnsi" w:hAnsiTheme="minorHAnsi"/>
              </w:rPr>
            </w:pPr>
          </w:p>
        </w:tc>
      </w:tr>
      <w:tr w:rsidR="00814469" w:rsidRPr="0035018D" w:rsidTr="003B4186">
        <w:trPr>
          <w:trHeight w:val="283"/>
        </w:trPr>
        <w:tc>
          <w:tcPr>
            <w:tcW w:w="3402" w:type="dxa"/>
            <w:shd w:val="clear" w:color="auto" w:fill="auto"/>
            <w:vAlign w:val="center"/>
          </w:tcPr>
          <w:p w:rsidR="00814469" w:rsidRPr="0035018D" w:rsidRDefault="00814469" w:rsidP="003B4186">
            <w:pPr>
              <w:spacing w:line="276" w:lineRule="auto"/>
              <w:jc w:val="center"/>
              <w:rPr>
                <w:rFonts w:asciiTheme="minorHAnsi" w:hAnsiTheme="minorHAnsi"/>
                <w:b/>
                <w:bCs/>
              </w:rPr>
            </w:pPr>
            <w:r w:rsidRPr="0035018D">
              <w:rPr>
                <w:rFonts w:asciiTheme="minorHAnsi" w:hAnsiTheme="minorHAnsi"/>
                <w:b/>
                <w:bCs/>
                <w:sz w:val="22"/>
                <w:szCs w:val="22"/>
              </w:rPr>
              <w:t>REPUBLIKA HRVATSKA</w:t>
            </w:r>
          </w:p>
        </w:tc>
        <w:tc>
          <w:tcPr>
            <w:tcW w:w="6345" w:type="dxa"/>
            <w:vMerge/>
          </w:tcPr>
          <w:p w:rsidR="00814469" w:rsidRPr="0035018D" w:rsidRDefault="00814469" w:rsidP="003B4186">
            <w:pPr>
              <w:spacing w:line="276" w:lineRule="auto"/>
              <w:jc w:val="center"/>
              <w:rPr>
                <w:rFonts w:asciiTheme="minorHAnsi" w:hAnsiTheme="minorHAnsi"/>
                <w:b/>
                <w:bCs/>
              </w:rPr>
            </w:pPr>
          </w:p>
        </w:tc>
      </w:tr>
      <w:tr w:rsidR="00814469" w:rsidRPr="0035018D" w:rsidTr="003B4186">
        <w:trPr>
          <w:trHeight w:val="283"/>
        </w:trPr>
        <w:tc>
          <w:tcPr>
            <w:tcW w:w="3402" w:type="dxa"/>
            <w:shd w:val="clear" w:color="auto" w:fill="auto"/>
            <w:vAlign w:val="center"/>
          </w:tcPr>
          <w:p w:rsidR="00814469" w:rsidRPr="0035018D" w:rsidRDefault="00814469" w:rsidP="003B4186">
            <w:pPr>
              <w:spacing w:line="276" w:lineRule="auto"/>
              <w:jc w:val="center"/>
              <w:rPr>
                <w:rFonts w:asciiTheme="minorHAnsi" w:hAnsiTheme="minorHAnsi"/>
                <w:b/>
                <w:bCs/>
              </w:rPr>
            </w:pPr>
            <w:r w:rsidRPr="0035018D">
              <w:rPr>
                <w:rFonts w:asciiTheme="minorHAnsi" w:hAnsiTheme="minorHAnsi"/>
                <w:b/>
                <w:bCs/>
                <w:sz w:val="22"/>
                <w:szCs w:val="22"/>
              </w:rPr>
              <w:t>OPĆINA ŽAKANJE</w:t>
            </w:r>
          </w:p>
          <w:p w:rsidR="00814469" w:rsidRPr="0035018D" w:rsidRDefault="00814469" w:rsidP="003B4186">
            <w:pPr>
              <w:spacing w:line="276" w:lineRule="auto"/>
              <w:jc w:val="center"/>
              <w:rPr>
                <w:rFonts w:asciiTheme="minorHAnsi" w:hAnsiTheme="minorHAnsi"/>
                <w:b/>
                <w:bCs/>
              </w:rPr>
            </w:pPr>
          </w:p>
        </w:tc>
        <w:tc>
          <w:tcPr>
            <w:tcW w:w="6345" w:type="dxa"/>
            <w:vMerge/>
          </w:tcPr>
          <w:p w:rsidR="00814469" w:rsidRPr="0035018D" w:rsidRDefault="00814469" w:rsidP="003B4186">
            <w:pPr>
              <w:spacing w:line="276" w:lineRule="auto"/>
              <w:jc w:val="center"/>
              <w:rPr>
                <w:rFonts w:asciiTheme="minorHAnsi" w:hAnsiTheme="minorHAnsi"/>
                <w:b/>
                <w:bCs/>
              </w:rPr>
            </w:pPr>
          </w:p>
        </w:tc>
      </w:tr>
      <w:tr w:rsidR="00814469" w:rsidRPr="0035018D" w:rsidTr="003B4186">
        <w:trPr>
          <w:trHeight w:val="283"/>
        </w:trPr>
        <w:tc>
          <w:tcPr>
            <w:tcW w:w="3402" w:type="dxa"/>
            <w:shd w:val="clear" w:color="auto" w:fill="auto"/>
            <w:vAlign w:val="center"/>
          </w:tcPr>
          <w:p w:rsidR="00814469" w:rsidRPr="0035018D" w:rsidRDefault="00814469" w:rsidP="003B4186">
            <w:pPr>
              <w:spacing w:line="276" w:lineRule="auto"/>
              <w:jc w:val="center"/>
              <w:rPr>
                <w:rFonts w:asciiTheme="minorHAnsi" w:hAnsiTheme="minorHAnsi"/>
                <w:b/>
                <w:bCs/>
              </w:rPr>
            </w:pPr>
            <w:r w:rsidRPr="0035018D">
              <w:rPr>
                <w:rFonts w:asciiTheme="minorHAnsi" w:hAnsiTheme="minorHAnsi"/>
                <w:b/>
                <w:bCs/>
                <w:sz w:val="22"/>
                <w:szCs w:val="22"/>
              </w:rPr>
              <w:t>DJEČJI VRTIĆ PČELICA ŽAKANJE</w:t>
            </w:r>
          </w:p>
        </w:tc>
        <w:tc>
          <w:tcPr>
            <w:tcW w:w="6345" w:type="dxa"/>
            <w:vMerge/>
          </w:tcPr>
          <w:p w:rsidR="00814469" w:rsidRPr="0035018D" w:rsidRDefault="00814469" w:rsidP="003B4186">
            <w:pPr>
              <w:spacing w:line="276" w:lineRule="auto"/>
              <w:jc w:val="center"/>
              <w:rPr>
                <w:rFonts w:asciiTheme="minorHAnsi" w:hAnsiTheme="minorHAnsi"/>
                <w:b/>
                <w:bCs/>
              </w:rPr>
            </w:pPr>
          </w:p>
        </w:tc>
      </w:tr>
      <w:tr w:rsidR="00814469" w:rsidRPr="0035018D" w:rsidTr="003B4186">
        <w:trPr>
          <w:trHeight w:val="283"/>
        </w:trPr>
        <w:tc>
          <w:tcPr>
            <w:tcW w:w="3402" w:type="dxa"/>
            <w:shd w:val="clear" w:color="auto" w:fill="auto"/>
            <w:vAlign w:val="center"/>
          </w:tcPr>
          <w:p w:rsidR="00814469" w:rsidRPr="0035018D" w:rsidRDefault="00814469" w:rsidP="003B4186">
            <w:pPr>
              <w:spacing w:line="276" w:lineRule="auto"/>
              <w:jc w:val="center"/>
              <w:rPr>
                <w:rFonts w:asciiTheme="minorHAnsi" w:hAnsiTheme="minorHAnsi"/>
                <w:b/>
                <w:bCs/>
                <w:i/>
                <w:iCs/>
              </w:rPr>
            </w:pPr>
            <w:r>
              <w:rPr>
                <w:rFonts w:asciiTheme="minorHAnsi" w:hAnsiTheme="minorHAnsi"/>
                <w:b/>
                <w:bCs/>
                <w:i/>
                <w:iCs/>
                <w:sz w:val="22"/>
                <w:szCs w:val="22"/>
              </w:rPr>
              <w:t>UPRAVNO</w:t>
            </w:r>
            <w:r w:rsidRPr="0035018D">
              <w:rPr>
                <w:rFonts w:asciiTheme="minorHAnsi" w:hAnsiTheme="minorHAnsi"/>
                <w:b/>
                <w:bCs/>
                <w:i/>
                <w:iCs/>
                <w:sz w:val="22"/>
                <w:szCs w:val="22"/>
              </w:rPr>
              <w:t xml:space="preserve"> VIJEĆE</w:t>
            </w:r>
          </w:p>
        </w:tc>
        <w:tc>
          <w:tcPr>
            <w:tcW w:w="6345" w:type="dxa"/>
            <w:vMerge/>
          </w:tcPr>
          <w:p w:rsidR="00814469" w:rsidRPr="0035018D" w:rsidRDefault="00814469" w:rsidP="003B4186">
            <w:pPr>
              <w:spacing w:line="276" w:lineRule="auto"/>
              <w:jc w:val="center"/>
              <w:rPr>
                <w:rFonts w:asciiTheme="minorHAnsi" w:hAnsiTheme="minorHAnsi"/>
                <w:b/>
                <w:bCs/>
                <w:i/>
                <w:iCs/>
              </w:rPr>
            </w:pPr>
          </w:p>
        </w:tc>
      </w:tr>
    </w:tbl>
    <w:p w:rsidR="00814469" w:rsidRPr="0035018D" w:rsidRDefault="00814469" w:rsidP="00814469">
      <w:pPr>
        <w:spacing w:line="276" w:lineRule="auto"/>
        <w:jc w:val="center"/>
        <w:rPr>
          <w:rFonts w:asciiTheme="minorHAnsi" w:hAnsiTheme="minorHAnsi"/>
          <w:b/>
          <w:sz w:val="22"/>
          <w:szCs w:val="22"/>
        </w:rPr>
      </w:pPr>
    </w:p>
    <w:p w:rsidR="00814469" w:rsidRPr="0035018D" w:rsidRDefault="00814469" w:rsidP="00814469">
      <w:pPr>
        <w:spacing w:line="276" w:lineRule="auto"/>
        <w:rPr>
          <w:rFonts w:asciiTheme="minorHAnsi" w:hAnsiTheme="minorHAnsi"/>
          <w:b/>
          <w:sz w:val="22"/>
          <w:szCs w:val="22"/>
        </w:rPr>
      </w:pPr>
      <w:r w:rsidRPr="0035018D">
        <w:rPr>
          <w:rFonts w:asciiTheme="minorHAnsi" w:hAnsiTheme="minorHAnsi"/>
          <w:b/>
          <w:bCs/>
          <w:sz w:val="22"/>
          <w:szCs w:val="22"/>
        </w:rPr>
        <w:t>KLASA</w:t>
      </w:r>
      <w:r w:rsidRPr="0035018D">
        <w:rPr>
          <w:rFonts w:asciiTheme="minorHAnsi" w:hAnsiTheme="minorHAnsi"/>
          <w:b/>
          <w:sz w:val="22"/>
          <w:szCs w:val="22"/>
        </w:rPr>
        <w:t xml:space="preserve">: </w:t>
      </w:r>
      <w:r w:rsidRPr="00FE6DFC">
        <w:rPr>
          <w:rFonts w:asciiTheme="minorHAnsi" w:hAnsiTheme="minorHAnsi"/>
          <w:sz w:val="22"/>
          <w:szCs w:val="22"/>
        </w:rPr>
        <w:t>112-08/22-01/0</w:t>
      </w:r>
      <w:r>
        <w:rPr>
          <w:rFonts w:asciiTheme="minorHAnsi" w:hAnsiTheme="minorHAnsi"/>
          <w:sz w:val="22"/>
          <w:szCs w:val="22"/>
        </w:rPr>
        <w:t>4</w:t>
      </w:r>
    </w:p>
    <w:p w:rsidR="00814469" w:rsidRPr="00FE6DFC" w:rsidRDefault="00814469" w:rsidP="00814469">
      <w:pPr>
        <w:spacing w:line="276" w:lineRule="auto"/>
        <w:rPr>
          <w:rFonts w:asciiTheme="minorHAnsi" w:hAnsiTheme="minorHAnsi"/>
          <w:sz w:val="22"/>
          <w:szCs w:val="22"/>
        </w:rPr>
      </w:pPr>
      <w:r w:rsidRPr="0035018D">
        <w:rPr>
          <w:rFonts w:asciiTheme="minorHAnsi" w:hAnsiTheme="minorHAnsi"/>
          <w:b/>
          <w:bCs/>
          <w:sz w:val="22"/>
          <w:szCs w:val="22"/>
        </w:rPr>
        <w:t>URBROJ</w:t>
      </w:r>
      <w:r>
        <w:rPr>
          <w:rFonts w:asciiTheme="minorHAnsi" w:hAnsiTheme="minorHAnsi"/>
          <w:b/>
          <w:sz w:val="22"/>
          <w:szCs w:val="22"/>
        </w:rPr>
        <w:t xml:space="preserve">: </w:t>
      </w:r>
      <w:r w:rsidRPr="00FE6DFC">
        <w:rPr>
          <w:rFonts w:asciiTheme="minorHAnsi" w:hAnsiTheme="minorHAnsi"/>
          <w:sz w:val="22"/>
          <w:szCs w:val="22"/>
        </w:rPr>
        <w:t>2133-22-1-02-22-01</w:t>
      </w:r>
    </w:p>
    <w:p w:rsidR="00814469" w:rsidRPr="0035018D" w:rsidRDefault="00814469" w:rsidP="00814469">
      <w:pPr>
        <w:spacing w:line="276" w:lineRule="auto"/>
        <w:rPr>
          <w:rFonts w:asciiTheme="minorHAnsi" w:hAnsiTheme="minorHAnsi"/>
          <w:b/>
          <w:sz w:val="22"/>
          <w:szCs w:val="22"/>
        </w:rPr>
      </w:pPr>
      <w:r w:rsidRPr="0035018D">
        <w:rPr>
          <w:rFonts w:asciiTheme="minorHAnsi" w:hAnsiTheme="minorHAnsi"/>
          <w:b/>
          <w:bCs/>
          <w:sz w:val="22"/>
          <w:szCs w:val="22"/>
        </w:rPr>
        <w:t>Žakanje</w:t>
      </w:r>
      <w:r w:rsidRPr="0035018D">
        <w:rPr>
          <w:rFonts w:asciiTheme="minorHAnsi" w:hAnsiTheme="minorHAnsi"/>
          <w:b/>
          <w:sz w:val="22"/>
          <w:szCs w:val="22"/>
        </w:rPr>
        <w:t>,</w:t>
      </w:r>
      <w:r w:rsidRPr="00FE6DFC">
        <w:rPr>
          <w:rFonts w:asciiTheme="minorHAnsi" w:hAnsiTheme="minorHAnsi"/>
          <w:sz w:val="22"/>
          <w:szCs w:val="22"/>
        </w:rPr>
        <w:t xml:space="preserve"> </w:t>
      </w:r>
      <w:r>
        <w:rPr>
          <w:rFonts w:asciiTheme="minorHAnsi" w:hAnsiTheme="minorHAnsi"/>
          <w:sz w:val="22"/>
          <w:szCs w:val="22"/>
        </w:rPr>
        <w:t>20. rujna</w:t>
      </w:r>
      <w:r w:rsidRPr="00FE6DFC">
        <w:rPr>
          <w:rFonts w:asciiTheme="minorHAnsi" w:hAnsiTheme="minorHAnsi"/>
          <w:sz w:val="22"/>
          <w:szCs w:val="22"/>
        </w:rPr>
        <w:t xml:space="preserve"> 2022. godine</w:t>
      </w:r>
    </w:p>
    <w:p w:rsidR="006045C3" w:rsidRDefault="00814469"/>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Na temelju čl. 26. Zakona o predškolskom odgoju i obrazovanju (NN 10/97, 107/07, 94/13, 98/19 i 57/22) i čl. 59. Statuta Dječjeg vrtića Pčelica Žakanje, Upravno vijeće Dječjeg vrtića Pčelica Žakanje raspisuje</w:t>
      </w:r>
    </w:p>
    <w:p w:rsidR="00814469" w:rsidRPr="00814469" w:rsidRDefault="00814469" w:rsidP="00814469">
      <w:pPr>
        <w:jc w:val="both"/>
        <w:rPr>
          <w:rFonts w:asciiTheme="minorHAnsi" w:hAnsiTheme="minorHAnsi"/>
          <w:sz w:val="22"/>
          <w:szCs w:val="22"/>
        </w:rPr>
      </w:pPr>
    </w:p>
    <w:p w:rsidR="00814469" w:rsidRPr="00814469" w:rsidRDefault="00814469" w:rsidP="00814469">
      <w:pPr>
        <w:jc w:val="center"/>
        <w:rPr>
          <w:rFonts w:asciiTheme="minorHAnsi" w:hAnsiTheme="minorHAnsi"/>
          <w:sz w:val="22"/>
          <w:szCs w:val="22"/>
        </w:rPr>
      </w:pPr>
      <w:r w:rsidRPr="00814469">
        <w:rPr>
          <w:rFonts w:asciiTheme="minorHAnsi" w:hAnsiTheme="minorHAnsi"/>
          <w:sz w:val="22"/>
          <w:szCs w:val="22"/>
        </w:rPr>
        <w:t>N A T J E Č A J</w:t>
      </w:r>
    </w:p>
    <w:p w:rsidR="00814469" w:rsidRPr="00814469" w:rsidRDefault="00814469" w:rsidP="00814469">
      <w:pPr>
        <w:jc w:val="center"/>
        <w:rPr>
          <w:rFonts w:asciiTheme="minorHAnsi" w:hAnsiTheme="minorHAnsi"/>
          <w:sz w:val="22"/>
          <w:szCs w:val="22"/>
        </w:rPr>
      </w:pPr>
      <w:r w:rsidRPr="00814469">
        <w:rPr>
          <w:rFonts w:asciiTheme="minorHAnsi" w:hAnsiTheme="minorHAnsi"/>
          <w:sz w:val="22"/>
          <w:szCs w:val="22"/>
        </w:rPr>
        <w:t>za radno mjesto ODGOJITELJ/ICA PREDŠKOLSKE DJECE</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- 1 izvršitelj/ica, na određeno, puno radno vrijeme.</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Uvjeti za radno mjesto:</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završen preddiplomski sveučilišni studij ili stručni studij za odgojitelja predškolske djece, odnosno studij za odgojitelja kojim je stečena viša stručna sprema u skladu s ranijim propisima, kao i završen sveučilišni diplomski studij ili specijalistički diplomski stručni studij za odgojitelja sukladno Zakonu o predškolskom odgoju i obrazovanju (NN 10/97, 107/07, 94/13, 98/19 i 57/22) i Pravilniku o vrsti stručne spreme stručnih djelatnika te vrsti i stupnju stručne spreme ostalih djelatnika u vrtiću (NN 133/97)</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utvrđena zdravstvena sposobnost za obavljanje poslova radnog mjesta.</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Na natječaj se mogu javiti osobe oba spola. Izrazi koji imaju rodno značenje odnose se jednako na muški i ženski rod.</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u w:val="single"/>
        </w:rPr>
      </w:pPr>
      <w:r w:rsidRPr="00814469">
        <w:rPr>
          <w:rFonts w:asciiTheme="minorHAnsi" w:hAnsiTheme="minorHAnsi"/>
          <w:sz w:val="22"/>
          <w:szCs w:val="22"/>
          <w:u w:val="single"/>
        </w:rPr>
        <w:t>Uz vlastoručno potpisanu prijavu za natječaj kandidati su dužni priložiti:</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1. Životopis</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2. Dokaz o hrvatskom državljanstvu - preslika domovnice</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3. Dokaz o stručnoj spremi - preslika diplome odnosno istovrsne isprave o stečenom stručnom/akademskom nazivu odnosno stručnom zvanju/nazivu,</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4. Dokaz o radnom stažu - elektronički zapis o stažu Hrvatskog zavoda za mirovinsko osiguranje, kao dokaz duljine radnog staža u struci - ne stariji od dana objave natječaja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5. Potvrda nadležnog suda da se protiv kandidata/kinje ne vodi kazneni postupak sukladno čl. 25. st. 2. Zakona o predškolskom odgoju i obrazovanju (NN 10/97, 107/07, 94/13, 98/19 i 57/22), ne starije od dana objave natječaja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6. Potvrda nadležnog suda da se protiv kandidata/kinje ne vodi prekršajni postupak sukladno čl. 25. st. 4. Zakona o predškolskom odgoju i obrazovanju (NN 10/97,107/07, 94/13, 98/19 i 57/22), ne starije od dana objave natječaja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7. Potvrda Centra za socijalnu skrb (prema mjestu stanovanja, ne starije od dana objave natječaja) da kandidatu nisu izrečene zaštitne mjere iz čl. 25. st. 10. Zakona o predškolskom odgoju i obrazovanja (NN broj 10/97, 107/07, 94/13, 98/19 i 57/22)</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lastRenderedPageBreak/>
        <w:t>8. Dokaz o zdravstvenoj sposobnosti kandidati nisu dužni priložiti uz prijavu na natječaj već će se ona ishoditi prije donošenja konačne odluke o sklapanju ugovora o radu</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xml:space="preserve">9. Uvjerenje o položenom stručnom ispitu (ako je položen) ili dokaz da je kandidat/kinja oslobođen/a polaganja stručnog ispita. </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Kandidati koji prema posebnim propisima ostvaruju pravo prednosti, moraju se u prijavi pozvati na to pravo, odnosno uz prijavu priložiti svu propisanu dokumentaciju prema posebnom zakonu te imaju prednost u odnosu na ostale kandidate samo pod jednakim uvjetima.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xml:space="preserve">Kandidati koji se pozivaju na pravo prednosti pri zapošljavanju u skladu s čl. 102. Zakona o hrvatskim braniteljima iz Domovinskog rata i članovima njihovih obitelji (NN 121/17, 98/19) uz prijavu na natječaj dužni su priložiti, osim dokaza o ispunjavanju traženih uvjeta i sve potrebne dokaze dostupne na poveznici Ministarstva hrvatskih branitelja: </w:t>
      </w:r>
      <w:hyperlink r:id="rId6" w:history="1">
        <w:r w:rsidRPr="00814469">
          <w:rPr>
            <w:rStyle w:val="Hyperlink"/>
            <w:rFonts w:asciiTheme="minorHAnsi" w:hAnsiTheme="minorHAnsi"/>
            <w:sz w:val="22"/>
            <w:szCs w:val="22"/>
          </w:rPr>
          <w:t>https://branitelji.gov.hr/zaposljavanje-843/843</w:t>
        </w:r>
      </w:hyperlink>
      <w:r w:rsidRPr="00814469">
        <w:rPr>
          <w:rFonts w:asciiTheme="minorHAnsi" w:hAnsiTheme="minorHAnsi"/>
          <w:sz w:val="22"/>
          <w:szCs w:val="22"/>
        </w:rPr>
        <w:t xml:space="preserve">. </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 xml:space="preserve">Informacije o dokazima koji su potrebni za ostvarivanje prava prednosti pri zapošljavanju nalaze se na poveznici:  </w:t>
      </w:r>
    </w:p>
    <w:p w:rsidR="00814469" w:rsidRPr="00814469" w:rsidRDefault="00814469" w:rsidP="00814469">
      <w:pPr>
        <w:jc w:val="both"/>
        <w:rPr>
          <w:rFonts w:asciiTheme="minorHAnsi" w:hAnsiTheme="minorHAnsi"/>
          <w:sz w:val="22"/>
          <w:szCs w:val="22"/>
        </w:rPr>
      </w:pPr>
      <w:hyperlink r:id="rId7" w:history="1">
        <w:r w:rsidRPr="00814469">
          <w:rPr>
            <w:rStyle w:val="Hyperlink"/>
            <w:rFonts w:asciiTheme="minorHAnsi" w:hAnsiTheme="minorHAnsi"/>
            <w:sz w:val="22"/>
            <w:szCs w:val="22"/>
          </w:rPr>
          <w:t>https://branitelji.gov.hr/UserDocsImages/NG/12%20Prosinac/Zapošljavanje/POPIS%20DOK</w:t>
        </w:r>
      </w:hyperlink>
      <w:r w:rsidRPr="00814469">
        <w:rPr>
          <w:rFonts w:asciiTheme="minorHAnsi" w:hAnsiTheme="minorHAnsi"/>
          <w:sz w:val="22"/>
          <w:szCs w:val="22"/>
        </w:rPr>
        <w:t xml:space="preserve"> AZA%20ZA%20OSTVARIVANJE%20PRAVA%20PRI%20ZAPOŠLJAVANJU.pdf   </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Kandidati koji se pozivaju na pravo prednosti pri zapošljavanju u skladu s čl. 9. Zakona o profesionalnoj rehabilitaciji i zapošljavanju osoba s invaliditetom (NN 157/13, 152/14, 39/18) uz prijavu na natječaj dužni su, pored dokaza o ispunjavanju traženih uvjeta, priložiti i dokaz o utvrđenom statusu osobe s invaliditetom.</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Prijave s dokazima o ispunjavanju uvjeta natječaja dostavljaju se neposredno u Dječji vrtić Pčelica Žakanje ili poštom preporučeno u roku 8 dana od dana objave natječaja u zatvorenoj omotnici s naznakom: „Natječaj za radno mjesto Odgojitelj/ica” na adresu: Dječji vrtić Pčelica Žakanje, Žakanje 59D, 47276 Žakanje. Nepotpune, nepotpisane, nepravovremene i prijave dostavljene elektroničkom poštom neće se razmatrati. Urednom prijavom smatra se pravovremena prijava koja sadrži sve podatke i priloge navedene u natječaju.</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Kandidati koji ispunjavaju formalne uvjete natječaja mogu biti pozvani na testiranje, razgovor i/ili pisanu provjeru znanja, sposobnosti i vještina bitnih za obavljanje poslova radnog mjesta.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Prijavom na natječaj kandidati su suglasni da Dječji vrtić Pčelica Žakanje kao voditelj zbirke osobnih podataka može prikupljati, obrađivati i koristiti osobne podatke u svrhu provedbe postupka natječaja u skladu sa zakonskim propisima. Upravno vijeće Dječjeg vrtića Pčelica Žakanje, bez dodatnih objašnjenja, zadržava pravo neprihvaćanja niti jedne prijave ukoliko smatra da niti jedna prijava ne udovoljava uvjetima natječaja. Do donošenja odluke o izboru, natječaj može biti poništen.</w:t>
      </w:r>
    </w:p>
    <w:p w:rsidR="00814469" w:rsidRPr="00814469" w:rsidRDefault="00814469" w:rsidP="00814469">
      <w:pPr>
        <w:jc w:val="both"/>
        <w:rPr>
          <w:rFonts w:asciiTheme="minorHAnsi" w:hAnsiTheme="minorHAnsi"/>
          <w:sz w:val="22"/>
          <w:szCs w:val="22"/>
        </w:rPr>
      </w:pP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Obavijest o rezultatima natječaja bit će objavljena na web stranici Općine Žakanje u roku od 45 dana od dana isteka roka za podnošenje prijava.</w:t>
      </w:r>
    </w:p>
    <w:p w:rsidR="00814469" w:rsidRPr="00814469" w:rsidRDefault="00814469" w:rsidP="00814469">
      <w:pPr>
        <w:jc w:val="both"/>
        <w:rPr>
          <w:rFonts w:asciiTheme="minorHAnsi" w:hAnsiTheme="minorHAnsi"/>
          <w:sz w:val="22"/>
          <w:szCs w:val="22"/>
        </w:rPr>
      </w:pPr>
      <w:r w:rsidRPr="00814469">
        <w:rPr>
          <w:rFonts w:asciiTheme="minorHAnsi" w:hAnsiTheme="minorHAnsi"/>
          <w:sz w:val="22"/>
          <w:szCs w:val="22"/>
        </w:rPr>
        <w:t>Ovaj natječaj objavljen je na mrežnim stranicama Hrvatskog zavoda za zapošljavanje i web stranici Općine Žakanje.</w:t>
      </w:r>
    </w:p>
    <w:p w:rsidR="00814469" w:rsidRPr="00814469" w:rsidRDefault="00814469" w:rsidP="00814469">
      <w:pPr>
        <w:jc w:val="both"/>
        <w:rPr>
          <w:rFonts w:asciiTheme="minorHAnsi" w:hAnsiTheme="minorHAnsi"/>
          <w:sz w:val="22"/>
          <w:szCs w:val="22"/>
        </w:rPr>
      </w:pPr>
    </w:p>
    <w:p w:rsidR="00814469" w:rsidRPr="00814469" w:rsidRDefault="00814469" w:rsidP="00814469">
      <w:pPr>
        <w:jc w:val="right"/>
        <w:rPr>
          <w:rFonts w:asciiTheme="minorHAnsi" w:hAnsiTheme="minorHAnsi"/>
          <w:sz w:val="22"/>
          <w:szCs w:val="22"/>
        </w:rPr>
      </w:pPr>
      <w:r w:rsidRPr="00814469">
        <w:rPr>
          <w:rFonts w:asciiTheme="minorHAnsi" w:hAnsiTheme="minorHAnsi"/>
          <w:sz w:val="22"/>
          <w:szCs w:val="22"/>
        </w:rPr>
        <w:t>Predsjednica Upravnog vijeća:</w:t>
      </w:r>
    </w:p>
    <w:p w:rsidR="00814469" w:rsidRPr="00814469" w:rsidRDefault="00814469" w:rsidP="00814469">
      <w:pPr>
        <w:jc w:val="right"/>
        <w:rPr>
          <w:rFonts w:asciiTheme="minorHAnsi" w:hAnsiTheme="minorHAnsi"/>
          <w:sz w:val="22"/>
          <w:szCs w:val="22"/>
        </w:rPr>
      </w:pPr>
      <w:r w:rsidRPr="00814469">
        <w:rPr>
          <w:rFonts w:asciiTheme="minorHAnsi" w:hAnsiTheme="minorHAnsi"/>
          <w:sz w:val="22"/>
          <w:szCs w:val="22"/>
        </w:rPr>
        <w:t>Anita Srbelj-Dehlić, dipl.oec.</w:t>
      </w:r>
    </w:p>
    <w:p w:rsidR="00814469" w:rsidRDefault="00814469"/>
    <w:sectPr w:rsidR="00814469" w:rsidSect="003649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14469"/>
    <w:rsid w:val="00233875"/>
    <w:rsid w:val="003649EB"/>
    <w:rsid w:val="006E1561"/>
    <w:rsid w:val="0081446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69"/>
    <w:rPr>
      <w:rFonts w:ascii="Tahoma" w:hAnsi="Tahoma" w:cs="Tahoma"/>
      <w:sz w:val="16"/>
      <w:szCs w:val="16"/>
    </w:rPr>
  </w:style>
  <w:style w:type="character" w:customStyle="1" w:styleId="BalloonTextChar">
    <w:name w:val="Balloon Text Char"/>
    <w:basedOn w:val="DefaultParagraphFont"/>
    <w:link w:val="BalloonText"/>
    <w:uiPriority w:val="99"/>
    <w:semiHidden/>
    <w:rsid w:val="00814469"/>
    <w:rPr>
      <w:rFonts w:ascii="Tahoma" w:eastAsia="Times New Roman" w:hAnsi="Tahoma" w:cs="Tahoma"/>
      <w:sz w:val="16"/>
      <w:szCs w:val="16"/>
    </w:rPr>
  </w:style>
  <w:style w:type="character" w:styleId="Hyperlink">
    <w:name w:val="Hyperlink"/>
    <w:basedOn w:val="DefaultParagraphFont"/>
    <w:uiPriority w:val="99"/>
    <w:unhideWhenUsed/>
    <w:rsid w:val="00814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NG/12%20Prosinac/Zapo&#353;ljavanje/POPIS%20D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1</cp:revision>
  <dcterms:created xsi:type="dcterms:W3CDTF">2022-11-29T11:06:00Z</dcterms:created>
  <dcterms:modified xsi:type="dcterms:W3CDTF">2022-11-29T11:08:00Z</dcterms:modified>
</cp:coreProperties>
</file>